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lenraster"/>
        <w:tblpPr w:vertAnchor="page" w:horzAnchor="margin" w:tblpX="319" w:tblpYSpec="bottom"/>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318" w:type="dxa"/>
          <w:right w:w="318" w:type="dxa"/>
        </w:tblCellMar>
        <w:tblLook w:val="04A0" w:firstRow="1" w:lastRow="0" w:firstColumn="1" w:lastColumn="0" w:noHBand="0" w:noVBand="1"/>
        <w:tblCaption w:val="TiteltabelleV5"/>
        <w:tblDescription w:val="TiteltabelleV5"/>
      </w:tblPr>
      <w:tblGrid>
        <w:gridCol w:w="6350"/>
      </w:tblGrid>
      <w:tr>
        <w:tc>
          <w:tcPr>
            <w:tcW w:w="6350" w:type="dxa"/>
            <w:shd w:val="clear" w:color="auto" w:fill="4BB9B9"/>
            <w:tcMar>
              <w:top w:w="170" w:type="dxa"/>
              <w:left w:w="318" w:type="dxa"/>
              <w:bottom w:w="567" w:type="dxa"/>
              <w:right w:w="318" w:type="dxa"/>
            </w:tcMar>
          </w:tcPr>
          <w:p>
            <w:pPr>
              <w:pStyle w:val="HeadlineV526pt"/>
              <w:rPr>
                <w:lang w:val="de-DE"/>
              </w:rPr>
            </w:pPr>
            <w:bookmarkStart w:id="0" w:name="_Toc99167300"/>
            <w:bookmarkStart w:id="1" w:name="_GoBack"/>
            <w:r>
              <w:rPr>
                <w:lang w:val="de-DE"/>
              </w:rPr>
              <w:t xml:space="preserve">MQTT-Publisher (unverschlüsselt) </w:t>
            </w:r>
            <w:r>
              <w:rPr>
                <w:lang w:val="de-DE"/>
              </w:rPr>
              <w:br/>
              <w:t xml:space="preserve">für die S7-1500/ </w:t>
            </w:r>
            <w:r>
              <w:rPr>
                <w:lang w:val="de-DE"/>
              </w:rPr>
              <w:br/>
              <w:t>S7-1200  und S7-300</w:t>
            </w:r>
          </w:p>
        </w:tc>
      </w:tr>
      <w:tr>
        <w:trPr>
          <w:trHeight w:hRule="exact" w:val="113"/>
        </w:trPr>
        <w:tc>
          <w:tcPr>
            <w:tcW w:w="6350" w:type="dxa"/>
            <w:shd w:val="clear" w:color="auto" w:fill="auto"/>
          </w:tcPr>
          <w:p>
            <w:pPr>
              <w:rPr>
                <w:color w:val="FFFFFF" w:themeColor="background1"/>
              </w:rPr>
            </w:pPr>
          </w:p>
        </w:tc>
      </w:tr>
      <w:tr>
        <w:tc>
          <w:tcPr>
            <w:tcW w:w="6350" w:type="dxa"/>
            <w:shd w:val="clear" w:color="auto" w:fill="4BB9B9"/>
          </w:tcPr>
          <w:p>
            <w:pPr>
              <w:pStyle w:val="SubheadV512pt"/>
            </w:pPr>
            <w:r>
              <w:t>Bausteine für S7-1500/ S7-1200, S7-300, Version 1.1</w:t>
            </w:r>
          </w:p>
        </w:tc>
      </w:tr>
      <w:tr>
        <w:trPr>
          <w:trHeight w:hRule="exact" w:val="113"/>
        </w:trPr>
        <w:tc>
          <w:tcPr>
            <w:tcW w:w="6350" w:type="dxa"/>
            <w:shd w:val="clear" w:color="auto" w:fill="auto"/>
          </w:tcPr>
          <w:p>
            <w:pPr>
              <w:rPr>
                <w:color w:val="FFFFFF" w:themeColor="background1"/>
              </w:rPr>
            </w:pPr>
          </w:p>
        </w:tc>
      </w:tr>
      <w:bookmarkStart w:id="2" w:name="BIDLink1"/>
      <w:tr>
        <w:trPr>
          <w:trHeight w:hRule="exact" w:val="442"/>
        </w:trPr>
        <w:tc>
          <w:tcPr>
            <w:tcW w:w="6350" w:type="dxa"/>
            <w:shd w:val="clear" w:color="auto" w:fill="FFFFFF" w:themeFill="background1"/>
            <w:tcMar>
              <w:left w:w="318" w:type="dxa"/>
              <w:right w:w="318" w:type="dxa"/>
            </w:tcMar>
            <w:vAlign w:val="center"/>
          </w:tcPr>
          <w:p>
            <w:pPr>
              <w:pStyle w:val="URLKeyword9pt"/>
              <w:rPr>
                <w:lang w:val="de-DE"/>
              </w:rPr>
            </w:pPr>
            <w:r>
              <w:rPr>
                <w:color w:val="auto"/>
              </w:rPr>
              <w:fldChar w:fldCharType="begin"/>
            </w:r>
            <w:r>
              <w:rPr>
                <w:color w:val="auto"/>
                <w:lang w:val="de-DE"/>
              </w:rPr>
              <w:instrText xml:space="preserve"> HYPERLINK "https://support.industry.siemens.com/cs/ww/de/view/109748872" </w:instrText>
            </w:r>
            <w:r>
              <w:rPr>
                <w:color w:val="auto"/>
              </w:rPr>
              <w:fldChar w:fldCharType="separate"/>
            </w:r>
            <w:r>
              <w:rPr>
                <w:rStyle w:val="Hyperlink"/>
                <w:rFonts w:ascii="Siemens Sans" w:hAnsi="Siemens Sans"/>
                <w:color w:val="auto"/>
                <w:lang w:val="de-DE"/>
              </w:rPr>
              <w:t>https://support.industry.siemens.com/cs/ww/de/view/109748872</w:t>
            </w:r>
            <w:bookmarkEnd w:id="2"/>
            <w:r>
              <w:rPr>
                <w:color w:val="auto"/>
              </w:rPr>
              <w:fldChar w:fldCharType="end"/>
            </w:r>
          </w:p>
        </w:tc>
      </w:tr>
      <w:tr>
        <w:trPr>
          <w:trHeight w:hRule="exact" w:val="907"/>
        </w:trPr>
        <w:tc>
          <w:tcPr>
            <w:tcW w:w="6350" w:type="dxa"/>
            <w:shd w:val="clear" w:color="auto" w:fill="auto"/>
            <w:tcMar>
              <w:left w:w="318" w:type="dxa"/>
              <w:right w:w="318" w:type="dxa"/>
            </w:tcMar>
            <w:vAlign w:val="center"/>
          </w:tcPr>
          <w:p>
            <w:pPr>
              <w:pStyle w:val="URLSectorClaim"/>
              <w:framePr w:w="0" w:hRule="auto" w:wrap="auto" w:vAnchor="margin" w:yAlign="inline" w:anchorLock="0"/>
              <w:jc w:val="left"/>
            </w:pPr>
            <w:r>
              <w:rPr>
                <w:rFonts w:ascii="Siemens Serif Semibold" w:hAnsi="Siemens Serif Semibold"/>
                <w:sz w:val="28"/>
                <w:szCs w:val="28"/>
              </w:rPr>
              <w:fldChar w:fldCharType="begin"/>
            </w:r>
            <w:r>
              <w:rPr>
                <w:rFonts w:ascii="Siemens Serif Semibold" w:hAnsi="Siemens Serif Semibold"/>
                <w:sz w:val="28"/>
                <w:szCs w:val="28"/>
              </w:rPr>
              <w:instrText xml:space="preserve"> DOCPROPERTY "Classification"  \* MERGEFORMAT </w:instrText>
            </w:r>
            <w:r>
              <w:rPr>
                <w:rFonts w:ascii="Siemens Serif Semibold" w:hAnsi="Siemens Serif Semibold"/>
                <w:sz w:val="28"/>
                <w:szCs w:val="28"/>
              </w:rPr>
              <w:fldChar w:fldCharType="separate"/>
            </w:r>
            <w:r>
              <w:rPr>
                <w:rFonts w:ascii="Siemens Serif Semibold" w:hAnsi="Siemens Serif Semibold"/>
                <w:bCs/>
                <w:sz w:val="28"/>
                <w:szCs w:val="28"/>
              </w:rPr>
              <w:t xml:space="preserve"> </w:t>
            </w:r>
            <w:r>
              <w:rPr>
                <w:rFonts w:ascii="Siemens Serif Semibold" w:hAnsi="Siemens Serif Semibold"/>
                <w:sz w:val="28"/>
                <w:szCs w:val="28"/>
              </w:rPr>
              <w:fldChar w:fldCharType="end"/>
            </w:r>
          </w:p>
          <w:p>
            <w:pPr>
              <w:pStyle w:val="URLKeyword9pt"/>
              <w:rPr>
                <w:lang w:val="de-DE"/>
              </w:rPr>
            </w:pPr>
          </w:p>
        </w:tc>
      </w:tr>
    </w:tbl>
    <w:p>
      <w:pPr>
        <w:pStyle w:val="Blocktext"/>
        <w:ind w:left="0"/>
        <w:sectPr>
          <w:headerReference w:type="even" r:id="rId9"/>
          <w:headerReference w:type="default" r:id="rId10"/>
          <w:footerReference w:type="even" r:id="rId11"/>
          <w:footerReference w:type="default" r:id="rId12"/>
          <w:headerReference w:type="first" r:id="rId13"/>
          <w:footerReference w:type="first" r:id="rId14"/>
          <w:pgSz w:w="11907" w:h="16840" w:code="9"/>
          <w:pgMar w:top="408" w:right="1701" w:bottom="357" w:left="1701" w:header="181" w:footer="573" w:gutter="0"/>
          <w:cols w:space="708"/>
          <w:titlePg/>
          <w:docGrid w:linePitch="360"/>
        </w:sectPr>
      </w:pPr>
      <w:r>
        <w:rPr>
          <w:noProof/>
          <w:lang w:eastAsia="de-DE"/>
        </w:rPr>
        <w:drawing>
          <wp:anchor distT="0" distB="0" distL="114300" distR="114300" simplePos="0" relativeHeight="251661311" behindDoc="0" locked="0" layoutInCell="1" allowOverlap="1">
            <wp:simplePos x="0" y="0"/>
            <wp:positionH relativeFrom="page">
              <wp:posOffset>6335395</wp:posOffset>
            </wp:positionH>
            <wp:positionV relativeFrom="page">
              <wp:posOffset>9269730</wp:posOffset>
            </wp:positionV>
            <wp:extent cx="863600" cy="863600"/>
            <wp:effectExtent l="0" t="0" r="0" b="0"/>
            <wp:wrapNone/>
            <wp:docPr id="7" name="qrcod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863600" cy="8636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mc:AlternateContent>
          <mc:Choice Requires="wps">
            <w:drawing>
              <wp:anchor distT="0" distB="0" distL="114300" distR="114300" simplePos="0" relativeHeight="251662336" behindDoc="0" locked="0" layoutInCell="1" allowOverlap="1">
                <wp:simplePos x="0" y="0"/>
                <wp:positionH relativeFrom="page">
                  <wp:posOffset>5400675</wp:posOffset>
                </wp:positionH>
                <wp:positionV relativeFrom="page">
                  <wp:posOffset>9271000</wp:posOffset>
                </wp:positionV>
                <wp:extent cx="864000" cy="864000"/>
                <wp:effectExtent l="0" t="0" r="0" b="0"/>
                <wp:wrapNone/>
                <wp:docPr id="4" name="Rechteck 4"/>
                <wp:cNvGraphicFramePr/>
                <a:graphic xmlns:a="http://schemas.openxmlformats.org/drawingml/2006/main">
                  <a:graphicData uri="http://schemas.microsoft.com/office/word/2010/wordprocessingShape">
                    <wps:wsp>
                      <wps:cNvSpPr/>
                      <wps:spPr>
                        <a:xfrm>
                          <a:off x="0" y="0"/>
                          <a:ext cx="864000" cy="864000"/>
                        </a:xfrm>
                        <a:prstGeom prst="rect">
                          <a:avLst/>
                        </a:prstGeom>
                        <a:solidFill>
                          <a:srgbClr val="F6861F"/>
                        </a:solidFill>
                        <a:ln w="25400" cap="flat" cmpd="sng" algn="ctr">
                          <a:noFill/>
                          <a:prstDash val="solid"/>
                        </a:ln>
                        <a:effectLst/>
                      </wps:spPr>
                      <wps:txbx>
                        <w:txbxContent>
                          <w:p>
                            <w:pPr>
                              <w:pStyle w:val="EyeCatcher"/>
                            </w:pPr>
                            <w:r>
                              <w:t>Siemens Industry Online Support</w:t>
                            </w:r>
                          </w:p>
                        </w:txbxContent>
                      </wps:txbx>
                      <wps:bodyPr rot="0" spcFirstLastPara="0" vertOverflow="overflow" horzOverflow="overflow" vert="horz" wrap="square" lIns="72000" tIns="45720" rIns="90000" bIns="468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4" o:spid="_x0000_s1026" style="position:absolute;margin-left:425.25pt;margin-top:730pt;width:68.05pt;height:68.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fzEYwIAALgEAAAOAAAAZHJzL2Uyb0RvYy54bWysVMFu2zAMvQ/YPwi6r06KNMuMOEWQIsOA&#10;oi3aDj0zshwbkyVNUmJ3X78n2Wm3bqdhF4UU6Ufy6THLy75V7Cidb4wu+PRswpnUwpSN3hf86+P2&#10;w4IzH0iXpIyWBX+Wnl+u3r9bdjaX56Y2qpSOAUT7vLMFr0OweZZ5UcuW/JmxUiNYGddSgOv2Wemo&#10;A3qrsvPJZJ51xpXWGSG9x+3VEOSrhF9VUoTbqvIyMFVw9BbS6dK5i2e2WlK+d2TrRoxt0D900VKj&#10;UfQF6ooCsYNr/oBqG+GMN1U4E6bNTFU1QqYZMM108maah5qsTLOAHG9faPL/D1bcHO8ca8qCzzjT&#10;1OKJ7qWogxTf2Cyy01mfI+nB3rnR8zDjqH3l2viLIVifGH1+YVT2gQlcLuazyQS8C4RGGyjZ68fW&#10;+fBZmpZFo+AOD5Z4pOO1D0PqKSXW8kY15bZRKjluv9sox46Ex93OF/PpNnYM9N/SlGZdwc8v0Aka&#10;IYisUhRgthZje73njNQe6hXBpdraxApAojzWviJfDzUS7FhC6RiXSWJjq5GqgZxohX7XAyOaO1M+&#10;g2VnBvl5K7YNgK/Jhzty0Bsaww6FWxyVMujWjBZntXE//nYf8yEDRDnroF9M8v1ATnKmvmgI5CO2&#10;Iwo+ObMLuJy55HxCAM5uiMwX0dGHdmPA4hTbakUyY35QJ7Nypn3Cqq1jVYRIC9Qu+O5kbsKwVVhV&#10;IdfrlASJWwrX+sGKCH0i9LF/ImfHFw+Qyo05KZ3yNw8/5MYvtVkfgqmapIpXVvHe0cF6pJcfVznu&#10;369+ynr9w1n9BAAA//8DAFBLAwQUAAYACAAAACEA+Ckfw+IAAAANAQAADwAAAGRycy9kb3ducmV2&#10;LnhtbEyPS0/DMBCE70j8B2srcaN2aROlIU5VITiAhFAf4ryN3SSqH5HttuHfs5zKcWc+zc5Uq9Ea&#10;dtEh9t5JmE0FMO0ar3rXStjv3h4LYDGhU2i80xJ+dIRVfX9XYan81W30ZZtaRiEuliihS2koOY9N&#10;py3GqR+0I+/og8VEZ2i5CnilcGv4kxA5t9g7+tDhoF863Zy2Zyth/r37+JoHG8yA74tifXw1m8+9&#10;lA+Tcf0MLOkx3WD4q0/VoaZOB392KjIjochERigZi1zQKkKWRZ4DO5CULfMZ8Lri/1fUvwAAAP//&#10;AwBQSwECLQAUAAYACAAAACEAtoM4kv4AAADhAQAAEwAAAAAAAAAAAAAAAAAAAAAAW0NvbnRlbnRf&#10;VHlwZXNdLnhtbFBLAQItABQABgAIAAAAIQA4/SH/1gAAAJQBAAALAAAAAAAAAAAAAAAAAC8BAABf&#10;cmVscy8ucmVsc1BLAQItABQABgAIAAAAIQDE7fzEYwIAALgEAAAOAAAAAAAAAAAAAAAAAC4CAABk&#10;cnMvZTJvRG9jLnhtbFBLAQItABQABgAIAAAAIQD4KR/D4gAAAA0BAAAPAAAAAAAAAAAAAAAAAL0E&#10;AABkcnMvZG93bnJldi54bWxQSwUGAAAAAAQABADzAAAAzAUAAAAA&#10;" fillcolor="#f6861f" stroked="f" strokeweight="2pt">
                <v:textbox inset="2mm,,2.5mm,1.3mm">
                  <w:txbxContent>
                    <w:p>
                      <w:pPr>
                        <w:pStyle w:val="EyeCatcher"/>
                      </w:pPr>
                      <w:r>
                        <w:t>Siemens Industry Online Support</w:t>
                      </w:r>
                    </w:p>
                  </w:txbxContent>
                </v:textbox>
                <w10:wrap anchorx="page" anchory="page"/>
              </v:rect>
            </w:pict>
          </mc:Fallback>
        </mc:AlternateContent>
      </w:r>
    </w:p>
    <w:p>
      <w:pPr>
        <w:pStyle w:val="berschriftbersicht"/>
      </w:pPr>
      <w:bookmarkStart w:id="3" w:name="_Toc475543682"/>
      <w:bookmarkStart w:id="4" w:name="_Toc520107684"/>
      <w:bookmarkEnd w:id="1"/>
      <w:r>
        <w:lastRenderedPageBreak/>
        <w:t>Rechtliche Hinweise</w:t>
      </w:r>
      <w:bookmarkEnd w:id="3"/>
      <w:bookmarkEnd w:id="4"/>
    </w:p>
    <w:p>
      <w:pPr>
        <w:pStyle w:val="BlocktitelLegal"/>
        <w:rPr>
          <w:noProof/>
        </w:rPr>
      </w:pPr>
      <w:r>
        <w:rPr>
          <w:noProof/>
        </w:rPr>
        <w:t>Nutzung der Anwendungsbeispiele</w:t>
      </w:r>
    </w:p>
    <w:p>
      <w:pPr>
        <w:pStyle w:val="BlocktextLegal"/>
        <w:rPr>
          <w:noProof/>
        </w:rPr>
      </w:pPr>
      <w:r>
        <w:rPr>
          <w:noProof/>
        </w:rPr>
        <w:t>In den Anwendungsbeispielen wird die Lösung von Automatisierungsaufgaben im Zusammen</w:t>
      </w:r>
      <w:r>
        <w:rPr>
          <w:noProof/>
        </w:rPr>
        <w:softHyphen/>
        <w:t>spiel mehrerer Komponenten in Form von Text, Grafiken und/oder Software-Bausteinen beispielhaft dargestellt. Die Anwendungsbeispiele sind ein kostenloser Service der Siemens AG und/oder einer Tochtergesellschaft der Siemens AG („Siemens“). Sie sind unverbindlich und erheben keinen Anspruch auf Vollständigkeit und Funktionsfähigkeit hinsichtlich Konfiguration und Ausstattung. Die Anwendungsbeispiele stellen keine kundenspezifischen Lösungen dar, sondern bieten lediglich Hilfestellung bei typischen Aufgabenstellungen. Sie sind selbst für den sachgemäßen und sicheren Betrieb der Produkte innerhalb der geltenden Vorschriften verantwortlich und müssen dazu die Funktion des jeweiligen Anwendungsbeispiels überprüfen und auf Ihre Anlage individuell anpassen.</w:t>
      </w:r>
      <w:r>
        <w:rPr>
          <w:noProof/>
        </w:rPr>
        <w:br/>
        <w:t>Sie erhalten von Siemens das nicht ausschließliche, nicht unterlizenzierbare und nicht übertragbare Recht, die Anwendungsbeispiele durch fachlich geschultes Personal zu nutzen. Jede Änderung an den Anwendungsbeispielen erfolgt auf Ihre Verantwortung. Die Weitergabe an Dritte oder Vervielfältigung der Anwendungsbeispiele oder von Auszügen daraus ist nur in Kombination mit Ihren eigenen Produkten gestattet. Die Anwendungsbeispiele unterliegen nicht zwingend den üblichen Tests und Qualitätsprüfungen eines kostenpflichtigen Produkts, können Funktions- und Leistungsmängel enthalten und mit Fehlern behaftet sein. Sie sind verpflichtet, die Nutzung so zu gestalten, dass eventuelle Fehlfunktionen nicht zu Sachschäden oder der Verletzung von Personen führen.</w:t>
      </w:r>
    </w:p>
    <w:p>
      <w:pPr>
        <w:pStyle w:val="BlocktitelLegal"/>
        <w:rPr>
          <w:noProof/>
        </w:rPr>
      </w:pPr>
      <w:r>
        <w:rPr>
          <w:noProof/>
        </w:rPr>
        <w:t>Haftungsausschluss</w:t>
      </w:r>
    </w:p>
    <w:p>
      <w:pPr>
        <w:pStyle w:val="BlocktextLegal"/>
        <w:rPr>
          <w:noProof/>
        </w:rPr>
      </w:pPr>
      <w:r>
        <w:rPr>
          <w:noProof/>
        </w:rPr>
        <w:t>Siemens schließt seine Haftung, gleich aus welchem Rechtsgrund, insbesondere für die Verwendbarkeit, Verfügbarkeit, Vollständigkeit und Mangelfreiheit der Anwendungsbeispiele, sowie dazugehöriger Hinweise, Projektierungs- und Leistungsdaten und dadurch verursachte Schäden aus. Dies gilt nicht, soweit Siemens zwingend haftet, z.B. nach dem Produkthaftungs</w:t>
      </w:r>
      <w:r>
        <w:rPr>
          <w:noProof/>
        </w:rPr>
        <w:softHyphen/>
        <w:t>gesetz, in Fällen des Vorsatzes, der groben Fahrlässigkeit, wegen der schuldhaften Verletzung des Lebens, des Körpers oder der Gesundheit, bei Nichteinhaltung einer übernommenen Garantie, wegen des arglistigen Verschweigens eines Mangels oder wegen der schuldhaften Verletzung wesentlicher Vertragspflichten. Der Schadensersatzanspruch für die Verletzung wesentlicher Vertragspflichten ist jedoch auf den vertragstypischen, vorhersehbaren Schaden begrenzt, soweit nicht Vorsatz oder grobe Fahrlässigkeit vorliegen oder wegen der Verletzung des Lebens, des Körpers oder der Gesundheit gehaftet wird. Eine Änderung der Beweislast zu Ihrem Nachteil ist mit den vorstehenden Regelungen nicht verbunden. Von in diesem Zusammen</w:t>
      </w:r>
      <w:r>
        <w:rPr>
          <w:noProof/>
        </w:rPr>
        <w:softHyphen/>
        <w:t>hang bestehenden oder entstehenden Ansprüchen Dritter stellen Sie Siemens frei, soweit Siemens nicht gesetzlich zwingend haftet.</w:t>
      </w:r>
      <w:r>
        <w:rPr>
          <w:noProof/>
        </w:rPr>
        <w:br/>
        <w:t>Durch Nutzung der Anwendungsbeispiele erkennen Sie an, dass Siemens über die beschriebene Haftungsregelung hinaus nicht für etwaige Schäden haftbar gemacht werden kann.</w:t>
      </w:r>
    </w:p>
    <w:p>
      <w:pPr>
        <w:pStyle w:val="BlocktitelLegal"/>
        <w:rPr>
          <w:noProof/>
        </w:rPr>
      </w:pPr>
      <w:r>
        <w:rPr>
          <w:noProof/>
        </w:rPr>
        <w:t>Weitere Hinweise</w:t>
      </w:r>
    </w:p>
    <w:p>
      <w:pPr>
        <w:pStyle w:val="BlocktextLegal"/>
        <w:rPr>
          <w:noProof/>
        </w:rPr>
      </w:pPr>
      <w:r>
        <w:rPr>
          <w:noProof/>
        </w:rPr>
        <w:t>Siemens behält sich das Recht vor, Änderungen an den Anwendungsbeispielen jederzeit ohne Ankündigung durchzuführen. Bei Abweichungen zwischen den Vorschlägen in den Anwendungs</w:t>
      </w:r>
      <w:r>
        <w:rPr>
          <w:noProof/>
        </w:rPr>
        <w:softHyphen/>
        <w:t>beispielen und anderen Siemens Publikationen, wie z. B. Katalogen, hat der Inhalt der anderen Dokumentation Vorrang.</w:t>
      </w:r>
      <w:r>
        <w:rPr>
          <w:noProof/>
        </w:rPr>
        <w:br/>
        <w:t xml:space="preserve">Ergänzend gelten die Siemens Nutzungsbedingungen </w:t>
      </w:r>
      <w:r>
        <w:rPr>
          <w:noProof/>
          <w:szCs w:val="17"/>
        </w:rPr>
        <w:t>(</w:t>
      </w:r>
      <w:hyperlink r:id="rId16" w:history="1">
        <w:r>
          <w:rPr>
            <w:rStyle w:val="Hyperlink"/>
            <w:noProof/>
            <w:szCs w:val="17"/>
          </w:rPr>
          <w:t>https://support.industry.siemens.com</w:t>
        </w:r>
      </w:hyperlink>
      <w:r>
        <w:rPr>
          <w:noProof/>
          <w:szCs w:val="17"/>
        </w:rPr>
        <w:t>).</w:t>
      </w:r>
    </w:p>
    <w:p>
      <w:pPr>
        <w:pStyle w:val="BlocktitelLegal"/>
        <w:rPr>
          <w:noProof/>
        </w:rPr>
      </w:pPr>
      <w:r>
        <w:rPr>
          <w:noProof/>
        </w:rPr>
        <w:t>Securityhinweise</w:t>
      </w:r>
    </w:p>
    <w:p>
      <w:pPr>
        <w:pStyle w:val="BlocktextLegal"/>
        <w:rPr>
          <w:noProof/>
        </w:rPr>
      </w:pPr>
      <w:r>
        <w:rPr>
          <w:noProof/>
        </w:rPr>
        <w:t>Siemens bietet Produkte und Lösungen mit Industrial Security-Funktionen an, die den sicheren Betrieb von Anlagen, Systemen, Maschinen und Netzwerken unterstützen.</w:t>
      </w:r>
      <w:r>
        <w:rPr>
          <w:noProof/>
        </w:rPr>
        <w:br/>
        <w:t>Um Anlagen, Systeme, Maschinen und Netzwerke gegen Cyber-Bedrohungen zu sichern, ist es erforderlich, ein ganzheitliches Industrial Security-Konzept zu implementieren (und kontinuierlich aufrechtzuerhalten), das dem aktuellen Stand der Technik entspricht. Die Produkte und Lösungen von Siemens formen nur einen Bestandteil eines solchen Konzepts.</w:t>
      </w:r>
      <w:r>
        <w:rPr>
          <w:noProof/>
        </w:rPr>
        <w:br/>
        <w:t>Der Kunde ist dafür verantwortlich, unbefugten Zugriff auf seine Anlagen, Systeme, Maschinen und Netzwerke zu verhindern. Systeme, Maschinen und Komponenten sollten nur mit dem Unternehmensnetzwerk oder dem Internet verbunden werden, wenn und soweit dies notwendig ist und entsprechende Schutzmaßnahmen (z.B. Nutzung von Firewalls und Netzwerk</w:t>
      </w:r>
      <w:r>
        <w:rPr>
          <w:noProof/>
        </w:rPr>
        <w:softHyphen/>
        <w:t xml:space="preserve">segmentierung) ergriffen wurden. </w:t>
      </w:r>
      <w:r>
        <w:rPr>
          <w:noProof/>
        </w:rPr>
        <w:br/>
        <w:t xml:space="preserve">Zusätzlich sollten die Empfehlungen von Siemens zu entsprechenden Schutzmaßnahmen beachtet werden. Weiterführende Informationen über Industrial Security finden Sie unter: </w:t>
      </w:r>
      <w:hyperlink r:id="rId17" w:history="1">
        <w:r>
          <w:rPr>
            <w:rStyle w:val="Hyperlink"/>
            <w:noProof/>
            <w:szCs w:val="17"/>
          </w:rPr>
          <w:t>https://www.siemens.com/industrialsecurity</w:t>
        </w:r>
      </w:hyperlink>
      <w:r>
        <w:rPr>
          <w:noProof/>
          <w:szCs w:val="17"/>
        </w:rPr>
        <w:t>.</w:t>
      </w:r>
      <w:r>
        <w:rPr>
          <w:noProof/>
        </w:rPr>
        <w:t xml:space="preserve"> </w:t>
      </w:r>
    </w:p>
    <w:p>
      <w:pPr>
        <w:pStyle w:val="BlocktextLegal"/>
        <w:rPr>
          <w:noProof/>
        </w:rPr>
      </w:pPr>
      <w:r>
        <w:rPr>
          <w:noProof/>
        </w:rPr>
        <w:t xml:space="preserve">Die Produkte und Lösungen von Siemens werden ständig weiterentwickelt, um sie noch sicherer zu machen. Siemens empfiehlt ausdrücklich, Aktualisierungen durchzuführen, sobald die entsprechenden Updates zur Verfügung stehen und immer nur die aktuellen Produktversionen zu verwenden. Die Verwendung veralteter oder nicht mehr unterstützter Versionen kann das Risiko von Cyber-Bedrohungen erhöhen. </w:t>
      </w:r>
    </w:p>
    <w:p>
      <w:pPr>
        <w:pStyle w:val="Blocktext"/>
        <w:spacing w:before="0" w:after="0"/>
        <w:sectPr>
          <w:headerReference w:type="even" r:id="rId18"/>
          <w:headerReference w:type="default" r:id="rId19"/>
          <w:footerReference w:type="default" r:id="rId20"/>
          <w:pgSz w:w="11907" w:h="16839" w:code="9"/>
          <w:pgMar w:top="1134" w:right="1701" w:bottom="1701" w:left="1701" w:header="1134" w:footer="567" w:gutter="0"/>
          <w:cols w:space="708"/>
          <w:docGrid w:linePitch="360"/>
        </w:sectPr>
      </w:pPr>
      <w:r>
        <w:rPr>
          <w:noProof/>
          <w:sz w:val="17"/>
          <w:szCs w:val="17"/>
        </w:rPr>
        <w:t>Um stets über Produkt-Updates informiert zu sein, abonnieren Sie den Siemens Industrial</w:t>
      </w:r>
      <w:r>
        <w:rPr>
          <w:sz w:val="17"/>
          <w:szCs w:val="17"/>
        </w:rPr>
        <w:t xml:space="preserve"> Security RSS Feed unter: </w:t>
      </w:r>
      <w:hyperlink r:id="rId21" w:history="1">
        <w:r>
          <w:rPr>
            <w:rStyle w:val="Hyperlink"/>
            <w:sz w:val="17"/>
            <w:szCs w:val="17"/>
          </w:rPr>
          <w:t>http://www.siemens.com/industrialsecurity</w:t>
        </w:r>
      </w:hyperlink>
      <w:r>
        <w:rPr>
          <w:sz w:val="17"/>
          <w:szCs w:val="17"/>
        </w:rPr>
        <w:t>.</w:t>
      </w:r>
    </w:p>
    <w:p>
      <w:pPr>
        <w:pStyle w:val="berschriftInhaltsverzeichnis"/>
      </w:pPr>
      <w:r>
        <w:lastRenderedPageBreak/>
        <w:t>Inhaltsverzeichnis</w:t>
      </w:r>
      <w:bookmarkEnd w:id="0"/>
    </w:p>
    <w:p>
      <w:pPr>
        <w:pStyle w:val="Verzeichnis1"/>
        <w:rPr>
          <w:rFonts w:asciiTheme="minorHAnsi" w:eastAsiaTheme="minorEastAsia" w:hAnsiTheme="minorHAnsi" w:cstheme="minorBidi"/>
          <w:b w:val="0"/>
          <w:sz w:val="22"/>
          <w:lang w:eastAsia="de-DE"/>
        </w:rPr>
      </w:pPr>
      <w:r>
        <w:fldChar w:fldCharType="begin"/>
      </w:r>
      <w:r>
        <w:instrText xml:space="preserve"> TOC \o "1-3" \h \z \t "Überschrift 1;1;Überschrift 2;3;Blocktitel_IVZ;4;Überschrift_Teil;1; Heading 1;1;Heading 2;3;1;Überschrift 1_Tabelle;1;Überschrift_Übersicht;1" </w:instrText>
      </w:r>
      <w:r>
        <w:fldChar w:fldCharType="separate"/>
      </w:r>
      <w:hyperlink w:anchor="_Toc520107684" w:history="1">
        <w:r>
          <w:rPr>
            <w:rStyle w:val="Hyperlink"/>
          </w:rPr>
          <w:t>Rechtliche Hinweise</w:t>
        </w:r>
        <w:r>
          <w:rPr>
            <w:webHidden/>
          </w:rPr>
          <w:tab/>
        </w:r>
        <w:r>
          <w:rPr>
            <w:webHidden/>
          </w:rPr>
          <w:fldChar w:fldCharType="begin"/>
        </w:r>
        <w:r>
          <w:rPr>
            <w:webHidden/>
          </w:rPr>
          <w:instrText xml:space="preserve"> PAGEREF _Toc520107684 \h </w:instrText>
        </w:r>
        <w:r>
          <w:rPr>
            <w:webHidden/>
          </w:rPr>
        </w:r>
        <w:r>
          <w:rPr>
            <w:webHidden/>
          </w:rPr>
          <w:fldChar w:fldCharType="separate"/>
        </w:r>
        <w:r>
          <w:rPr>
            <w:webHidden/>
          </w:rPr>
          <w:t>2</w:t>
        </w:r>
        <w:r>
          <w:rPr>
            <w:webHidden/>
          </w:rPr>
          <w:fldChar w:fldCharType="end"/>
        </w:r>
      </w:hyperlink>
    </w:p>
    <w:p>
      <w:pPr>
        <w:pStyle w:val="Verzeichnis1"/>
        <w:tabs>
          <w:tab w:val="left" w:pos="1418"/>
        </w:tabs>
        <w:rPr>
          <w:rFonts w:asciiTheme="minorHAnsi" w:eastAsiaTheme="minorEastAsia" w:hAnsiTheme="minorHAnsi" w:cstheme="minorBidi"/>
          <w:b w:val="0"/>
          <w:sz w:val="22"/>
          <w:lang w:eastAsia="de-DE"/>
        </w:rPr>
      </w:pPr>
      <w:hyperlink w:anchor="_Toc520107685" w:history="1">
        <w:r>
          <w:rPr>
            <w:rStyle w:val="Hyperlink"/>
          </w:rPr>
          <w:t>1</w:t>
        </w:r>
        <w:r>
          <w:rPr>
            <w:rFonts w:asciiTheme="minorHAnsi" w:eastAsiaTheme="minorEastAsia" w:hAnsiTheme="minorHAnsi" w:cstheme="minorBidi"/>
            <w:b w:val="0"/>
            <w:sz w:val="22"/>
            <w:lang w:eastAsia="de-DE"/>
          </w:rPr>
          <w:tab/>
        </w:r>
        <w:r>
          <w:rPr>
            <w:rStyle w:val="Hyperlink"/>
          </w:rPr>
          <w:t>Einführung</w:t>
        </w:r>
        <w:r>
          <w:rPr>
            <w:webHidden/>
          </w:rPr>
          <w:tab/>
        </w:r>
        <w:r>
          <w:rPr>
            <w:webHidden/>
          </w:rPr>
          <w:fldChar w:fldCharType="begin"/>
        </w:r>
        <w:r>
          <w:rPr>
            <w:webHidden/>
          </w:rPr>
          <w:instrText xml:space="preserve"> PAGEREF _Toc520107685 \h </w:instrText>
        </w:r>
        <w:r>
          <w:rPr>
            <w:webHidden/>
          </w:rPr>
        </w:r>
        <w:r>
          <w:rPr>
            <w:webHidden/>
          </w:rPr>
          <w:fldChar w:fldCharType="separate"/>
        </w:r>
        <w:r>
          <w:rPr>
            <w:webHidden/>
          </w:rPr>
          <w:t>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86" w:history="1">
        <w:r>
          <w:rPr>
            <w:rStyle w:val="Hyperlink"/>
          </w:rPr>
          <w:t>1.1</w:t>
        </w:r>
        <w:r>
          <w:rPr>
            <w:rFonts w:asciiTheme="minorHAnsi" w:eastAsiaTheme="minorEastAsia" w:hAnsiTheme="minorHAnsi" w:cstheme="minorBidi"/>
            <w:sz w:val="22"/>
            <w:szCs w:val="22"/>
            <w:lang w:eastAsia="de-DE"/>
          </w:rPr>
          <w:tab/>
        </w:r>
        <w:r>
          <w:rPr>
            <w:rStyle w:val="Hyperlink"/>
          </w:rPr>
          <w:t>Überblick</w:t>
        </w:r>
        <w:r>
          <w:rPr>
            <w:webHidden/>
          </w:rPr>
          <w:tab/>
        </w:r>
        <w:r>
          <w:rPr>
            <w:webHidden/>
          </w:rPr>
          <w:fldChar w:fldCharType="begin"/>
        </w:r>
        <w:r>
          <w:rPr>
            <w:webHidden/>
          </w:rPr>
          <w:instrText xml:space="preserve"> PAGEREF _Toc520107686 \h </w:instrText>
        </w:r>
        <w:r>
          <w:rPr>
            <w:webHidden/>
          </w:rPr>
        </w:r>
        <w:r>
          <w:rPr>
            <w:webHidden/>
          </w:rPr>
          <w:fldChar w:fldCharType="separate"/>
        </w:r>
        <w:r>
          <w:rPr>
            <w:webHidden/>
          </w:rPr>
          <w:t>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87" w:history="1">
        <w:r>
          <w:rPr>
            <w:rStyle w:val="Hyperlink"/>
          </w:rPr>
          <w:t>1.2</w:t>
        </w:r>
        <w:r>
          <w:rPr>
            <w:rFonts w:asciiTheme="minorHAnsi" w:eastAsiaTheme="minorEastAsia" w:hAnsiTheme="minorHAnsi" w:cstheme="minorBidi"/>
            <w:sz w:val="22"/>
            <w:szCs w:val="22"/>
            <w:lang w:eastAsia="de-DE"/>
          </w:rPr>
          <w:tab/>
        </w:r>
        <w:r>
          <w:rPr>
            <w:rStyle w:val="Hyperlink"/>
          </w:rPr>
          <w:t>Funktionsweise</w:t>
        </w:r>
        <w:r>
          <w:rPr>
            <w:webHidden/>
          </w:rPr>
          <w:tab/>
        </w:r>
        <w:r>
          <w:rPr>
            <w:webHidden/>
          </w:rPr>
          <w:fldChar w:fldCharType="begin"/>
        </w:r>
        <w:r>
          <w:rPr>
            <w:webHidden/>
          </w:rPr>
          <w:instrText xml:space="preserve"> PAGEREF _Toc520107687 \h </w:instrText>
        </w:r>
        <w:r>
          <w:rPr>
            <w:webHidden/>
          </w:rPr>
        </w:r>
        <w:r>
          <w:rPr>
            <w:webHidden/>
          </w:rPr>
          <w:fldChar w:fldCharType="separate"/>
        </w:r>
        <w:r>
          <w:rPr>
            <w:webHidden/>
          </w:rPr>
          <w:t>5</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88" w:history="1">
        <w:r>
          <w:rPr>
            <w:rStyle w:val="Hyperlink"/>
          </w:rPr>
          <w:t>1.3</w:t>
        </w:r>
        <w:r>
          <w:rPr>
            <w:rFonts w:asciiTheme="minorHAnsi" w:eastAsiaTheme="minorEastAsia" w:hAnsiTheme="minorHAnsi" w:cstheme="minorBidi"/>
            <w:sz w:val="22"/>
            <w:szCs w:val="22"/>
            <w:lang w:eastAsia="de-DE"/>
          </w:rPr>
          <w:tab/>
        </w:r>
        <w:r>
          <w:rPr>
            <w:rStyle w:val="Hyperlink"/>
          </w:rPr>
          <w:t>Verwendete Komponenten</w:t>
        </w:r>
        <w:r>
          <w:rPr>
            <w:webHidden/>
          </w:rPr>
          <w:tab/>
        </w:r>
        <w:r>
          <w:rPr>
            <w:webHidden/>
          </w:rPr>
          <w:fldChar w:fldCharType="begin"/>
        </w:r>
        <w:r>
          <w:rPr>
            <w:webHidden/>
          </w:rPr>
          <w:instrText xml:space="preserve"> PAGEREF _Toc520107688 \h </w:instrText>
        </w:r>
        <w:r>
          <w:rPr>
            <w:webHidden/>
          </w:rPr>
        </w:r>
        <w:r>
          <w:rPr>
            <w:webHidden/>
          </w:rPr>
          <w:fldChar w:fldCharType="separate"/>
        </w:r>
        <w:r>
          <w:rPr>
            <w:webHidden/>
          </w:rPr>
          <w:t>6</w:t>
        </w:r>
        <w:r>
          <w:rPr>
            <w:webHidden/>
          </w:rPr>
          <w:fldChar w:fldCharType="end"/>
        </w:r>
      </w:hyperlink>
    </w:p>
    <w:p>
      <w:pPr>
        <w:pStyle w:val="Verzeichnis1"/>
        <w:tabs>
          <w:tab w:val="left" w:pos="1418"/>
        </w:tabs>
        <w:rPr>
          <w:rFonts w:asciiTheme="minorHAnsi" w:eastAsiaTheme="minorEastAsia" w:hAnsiTheme="minorHAnsi" w:cstheme="minorBidi"/>
          <w:b w:val="0"/>
          <w:sz w:val="22"/>
          <w:lang w:eastAsia="de-DE"/>
        </w:rPr>
      </w:pPr>
      <w:hyperlink w:anchor="_Toc520107689" w:history="1">
        <w:r>
          <w:rPr>
            <w:rStyle w:val="Hyperlink"/>
          </w:rPr>
          <w:t>2</w:t>
        </w:r>
        <w:r>
          <w:rPr>
            <w:rFonts w:asciiTheme="minorHAnsi" w:eastAsiaTheme="minorEastAsia" w:hAnsiTheme="minorHAnsi" w:cstheme="minorBidi"/>
            <w:b w:val="0"/>
            <w:sz w:val="22"/>
            <w:lang w:eastAsia="de-DE"/>
          </w:rPr>
          <w:tab/>
        </w:r>
        <w:r>
          <w:rPr>
            <w:rStyle w:val="Hyperlink"/>
          </w:rPr>
          <w:t>Engineering</w:t>
        </w:r>
        <w:r>
          <w:rPr>
            <w:webHidden/>
          </w:rPr>
          <w:tab/>
        </w:r>
        <w:r>
          <w:rPr>
            <w:webHidden/>
          </w:rPr>
          <w:fldChar w:fldCharType="begin"/>
        </w:r>
        <w:r>
          <w:rPr>
            <w:webHidden/>
          </w:rPr>
          <w:instrText xml:space="preserve"> PAGEREF _Toc520107689 \h </w:instrText>
        </w:r>
        <w:r>
          <w:rPr>
            <w:webHidden/>
          </w:rPr>
        </w:r>
        <w:r>
          <w:rPr>
            <w:webHidden/>
          </w:rPr>
          <w:fldChar w:fldCharType="separate"/>
        </w:r>
        <w:r>
          <w:rPr>
            <w:webHidden/>
          </w:rPr>
          <w:t>7</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90" w:history="1">
        <w:r>
          <w:rPr>
            <w:rStyle w:val="Hyperlink"/>
          </w:rPr>
          <w:t>2.1</w:t>
        </w:r>
        <w:r>
          <w:rPr>
            <w:rFonts w:asciiTheme="minorHAnsi" w:eastAsiaTheme="minorEastAsia" w:hAnsiTheme="minorHAnsi" w:cstheme="minorBidi"/>
            <w:sz w:val="22"/>
            <w:szCs w:val="22"/>
            <w:lang w:eastAsia="de-DE"/>
          </w:rPr>
          <w:tab/>
        </w:r>
        <w:r>
          <w:rPr>
            <w:rStyle w:val="Hyperlink"/>
          </w:rPr>
          <w:t>Bausteinbeschreibung</w:t>
        </w:r>
        <w:r>
          <w:rPr>
            <w:webHidden/>
          </w:rPr>
          <w:tab/>
        </w:r>
        <w:r>
          <w:rPr>
            <w:webHidden/>
          </w:rPr>
          <w:fldChar w:fldCharType="begin"/>
        </w:r>
        <w:r>
          <w:rPr>
            <w:webHidden/>
          </w:rPr>
          <w:instrText xml:space="preserve"> PAGEREF _Toc520107690 \h </w:instrText>
        </w:r>
        <w:r>
          <w:rPr>
            <w:webHidden/>
          </w:rPr>
        </w:r>
        <w:r>
          <w:rPr>
            <w:webHidden/>
          </w:rPr>
          <w:fldChar w:fldCharType="separate"/>
        </w:r>
        <w:r>
          <w:rPr>
            <w:webHidden/>
          </w:rPr>
          <w:t>7</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91" w:history="1">
        <w:r>
          <w:rPr>
            <w:rStyle w:val="Hyperlink"/>
          </w:rPr>
          <w:t>2.1.1</w:t>
        </w:r>
        <w:r>
          <w:rPr>
            <w:rFonts w:asciiTheme="minorHAnsi" w:eastAsiaTheme="minorEastAsia" w:hAnsiTheme="minorHAnsi" w:cstheme="minorBidi"/>
            <w:sz w:val="22"/>
            <w:szCs w:val="22"/>
            <w:lang w:eastAsia="de-DE"/>
          </w:rPr>
          <w:tab/>
        </w:r>
        <w:r>
          <w:rPr>
            <w:rStyle w:val="Hyperlink"/>
          </w:rPr>
          <w:t>Schnittstellenbeschreibung "LMqtt_Publisher"</w:t>
        </w:r>
        <w:r>
          <w:rPr>
            <w:webHidden/>
          </w:rPr>
          <w:tab/>
        </w:r>
        <w:r>
          <w:rPr>
            <w:webHidden/>
          </w:rPr>
          <w:fldChar w:fldCharType="begin"/>
        </w:r>
        <w:r>
          <w:rPr>
            <w:webHidden/>
          </w:rPr>
          <w:instrText xml:space="preserve"> PAGEREF _Toc520107691 \h </w:instrText>
        </w:r>
        <w:r>
          <w:rPr>
            <w:webHidden/>
          </w:rPr>
        </w:r>
        <w:r>
          <w:rPr>
            <w:webHidden/>
          </w:rPr>
          <w:fldChar w:fldCharType="separate"/>
        </w:r>
        <w:r>
          <w:rPr>
            <w:webHidden/>
          </w:rPr>
          <w:t>7</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92" w:history="1">
        <w:r>
          <w:rPr>
            <w:rStyle w:val="Hyperlink"/>
          </w:rPr>
          <w:t>2.1.2</w:t>
        </w:r>
        <w:r>
          <w:rPr>
            <w:rFonts w:asciiTheme="minorHAnsi" w:eastAsiaTheme="minorEastAsia" w:hAnsiTheme="minorHAnsi" w:cstheme="minorBidi"/>
            <w:sz w:val="22"/>
            <w:szCs w:val="22"/>
            <w:lang w:eastAsia="de-DE"/>
          </w:rPr>
          <w:tab/>
        </w:r>
        <w:r>
          <w:rPr>
            <w:rStyle w:val="Hyperlink"/>
          </w:rPr>
          <w:t>Datenbaustein "LMqtt_Data"</w:t>
        </w:r>
        <w:r>
          <w:rPr>
            <w:webHidden/>
          </w:rPr>
          <w:tab/>
        </w:r>
        <w:r>
          <w:rPr>
            <w:webHidden/>
          </w:rPr>
          <w:fldChar w:fldCharType="begin"/>
        </w:r>
        <w:r>
          <w:rPr>
            <w:webHidden/>
          </w:rPr>
          <w:instrText xml:space="preserve"> PAGEREF _Toc520107692 \h </w:instrText>
        </w:r>
        <w:r>
          <w:rPr>
            <w:webHidden/>
          </w:rPr>
        </w:r>
        <w:r>
          <w:rPr>
            <w:webHidden/>
          </w:rPr>
          <w:fldChar w:fldCharType="separate"/>
        </w:r>
        <w:r>
          <w:rPr>
            <w:webHidden/>
          </w:rPr>
          <w:t>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93" w:history="1">
        <w:r>
          <w:rPr>
            <w:rStyle w:val="Hyperlink"/>
          </w:rPr>
          <w:t>2.2</w:t>
        </w:r>
        <w:r>
          <w:rPr>
            <w:rFonts w:asciiTheme="minorHAnsi" w:eastAsiaTheme="minorEastAsia" w:hAnsiTheme="minorHAnsi" w:cstheme="minorBidi"/>
            <w:sz w:val="22"/>
            <w:szCs w:val="22"/>
            <w:lang w:eastAsia="de-DE"/>
          </w:rPr>
          <w:tab/>
        </w:r>
        <w:r>
          <w:rPr>
            <w:rStyle w:val="Hyperlink"/>
          </w:rPr>
          <w:t>Integration ins Anwenderprojekt</w:t>
        </w:r>
        <w:r>
          <w:rPr>
            <w:webHidden/>
          </w:rPr>
          <w:tab/>
        </w:r>
        <w:r>
          <w:rPr>
            <w:webHidden/>
          </w:rPr>
          <w:fldChar w:fldCharType="begin"/>
        </w:r>
        <w:r>
          <w:rPr>
            <w:webHidden/>
          </w:rPr>
          <w:instrText xml:space="preserve"> PAGEREF _Toc520107693 \h </w:instrText>
        </w:r>
        <w:r>
          <w:rPr>
            <w:webHidden/>
          </w:rPr>
        </w:r>
        <w:r>
          <w:rPr>
            <w:webHidden/>
          </w:rPr>
          <w:fldChar w:fldCharType="separate"/>
        </w:r>
        <w:r>
          <w:rPr>
            <w:webHidden/>
          </w:rPr>
          <w:t>13</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94" w:history="1">
        <w:r>
          <w:rPr>
            <w:rStyle w:val="Hyperlink"/>
          </w:rPr>
          <w:t>2.3</w:t>
        </w:r>
        <w:r>
          <w:rPr>
            <w:rFonts w:asciiTheme="minorHAnsi" w:eastAsiaTheme="minorEastAsia" w:hAnsiTheme="minorHAnsi" w:cstheme="minorBidi"/>
            <w:sz w:val="22"/>
            <w:szCs w:val="22"/>
            <w:lang w:eastAsia="de-DE"/>
          </w:rPr>
          <w:tab/>
        </w:r>
        <w:r>
          <w:rPr>
            <w:rStyle w:val="Hyperlink"/>
          </w:rPr>
          <w:t>Parametrierung und Bedienung</w:t>
        </w:r>
        <w:r>
          <w:rPr>
            <w:webHidden/>
          </w:rPr>
          <w:tab/>
        </w:r>
        <w:r>
          <w:rPr>
            <w:webHidden/>
          </w:rPr>
          <w:fldChar w:fldCharType="begin"/>
        </w:r>
        <w:r>
          <w:rPr>
            <w:webHidden/>
          </w:rPr>
          <w:instrText xml:space="preserve"> PAGEREF _Toc520107694 \h </w:instrText>
        </w:r>
        <w:r>
          <w:rPr>
            <w:webHidden/>
          </w:rPr>
        </w:r>
        <w:r>
          <w:rPr>
            <w:webHidden/>
          </w:rPr>
          <w:fldChar w:fldCharType="separate"/>
        </w:r>
        <w:r>
          <w:rPr>
            <w:webHidden/>
          </w:rPr>
          <w:t>14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95" w:history="1">
        <w:r>
          <w:rPr>
            <w:rStyle w:val="Hyperlink"/>
          </w:rPr>
          <w:t>2.4</w:t>
        </w:r>
        <w:r>
          <w:rPr>
            <w:rFonts w:asciiTheme="minorHAnsi" w:eastAsiaTheme="minorEastAsia" w:hAnsiTheme="minorHAnsi" w:cstheme="minorBidi"/>
            <w:sz w:val="22"/>
            <w:szCs w:val="22"/>
            <w:lang w:eastAsia="de-DE"/>
          </w:rPr>
          <w:tab/>
        </w:r>
        <w:r>
          <w:rPr>
            <w:rStyle w:val="Hyperlink"/>
          </w:rPr>
          <w:t>Fehlerhandling</w:t>
        </w:r>
        <w:r>
          <w:rPr>
            <w:webHidden/>
          </w:rPr>
          <w:tab/>
        </w:r>
        <w:r>
          <w:rPr>
            <w:webHidden/>
          </w:rPr>
          <w:fldChar w:fldCharType="begin"/>
        </w:r>
        <w:r>
          <w:rPr>
            <w:webHidden/>
          </w:rPr>
          <w:instrText xml:space="preserve"> PAGEREF _Toc520107695 \h </w:instrText>
        </w:r>
        <w:r>
          <w:rPr>
            <w:webHidden/>
          </w:rPr>
        </w:r>
        <w:r>
          <w:rPr>
            <w:webHidden/>
          </w:rPr>
          <w:fldChar w:fldCharType="separate"/>
        </w:r>
        <w:r>
          <w:rPr>
            <w:webHidden/>
          </w:rPr>
          <w:t>16</w:t>
        </w:r>
        <w:r>
          <w:rPr>
            <w:webHidden/>
          </w:rPr>
          <w:fldChar w:fldCharType="end"/>
        </w:r>
      </w:hyperlink>
    </w:p>
    <w:p>
      <w:pPr>
        <w:pStyle w:val="Verzeichnis1"/>
        <w:tabs>
          <w:tab w:val="left" w:pos="1418"/>
        </w:tabs>
        <w:rPr>
          <w:rFonts w:asciiTheme="minorHAnsi" w:eastAsiaTheme="minorEastAsia" w:hAnsiTheme="minorHAnsi" w:cstheme="minorBidi"/>
          <w:b w:val="0"/>
          <w:sz w:val="22"/>
          <w:lang w:eastAsia="de-DE"/>
        </w:rPr>
      </w:pPr>
      <w:hyperlink w:anchor="_Toc520107696" w:history="1">
        <w:r>
          <w:rPr>
            <w:rStyle w:val="Hyperlink"/>
          </w:rPr>
          <w:t>3</w:t>
        </w:r>
        <w:r>
          <w:rPr>
            <w:rFonts w:asciiTheme="minorHAnsi" w:eastAsiaTheme="minorEastAsia" w:hAnsiTheme="minorHAnsi" w:cstheme="minorBidi"/>
            <w:b w:val="0"/>
            <w:sz w:val="22"/>
            <w:lang w:eastAsia="de-DE"/>
          </w:rPr>
          <w:tab/>
        </w:r>
        <w:r>
          <w:rPr>
            <w:rStyle w:val="Hyperlink"/>
          </w:rPr>
          <w:t>Wissenswertes</w:t>
        </w:r>
        <w:r>
          <w:rPr>
            <w:webHidden/>
          </w:rPr>
          <w:tab/>
        </w:r>
        <w:r>
          <w:rPr>
            <w:webHidden/>
          </w:rPr>
          <w:fldChar w:fldCharType="begin"/>
        </w:r>
        <w:r>
          <w:rPr>
            <w:webHidden/>
          </w:rPr>
          <w:instrText xml:space="preserve"> PAGEREF _Toc520107696 \h </w:instrText>
        </w:r>
        <w:r>
          <w:rPr>
            <w:webHidden/>
          </w:rPr>
        </w:r>
        <w:r>
          <w:rPr>
            <w:webHidden/>
          </w:rPr>
          <w:fldChar w:fldCharType="separate"/>
        </w:r>
        <w:r>
          <w:rPr>
            <w:webHidden/>
          </w:rPr>
          <w:t>18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97" w:history="1">
        <w:r>
          <w:rPr>
            <w:rStyle w:val="Hyperlink"/>
          </w:rPr>
          <w:t>3.1</w:t>
        </w:r>
        <w:r>
          <w:rPr>
            <w:rFonts w:asciiTheme="minorHAnsi" w:eastAsiaTheme="minorEastAsia" w:hAnsiTheme="minorHAnsi" w:cstheme="minorBidi"/>
            <w:sz w:val="22"/>
            <w:szCs w:val="22"/>
            <w:lang w:eastAsia="de-DE"/>
          </w:rPr>
          <w:tab/>
        </w:r>
        <w:r>
          <w:rPr>
            <w:rStyle w:val="Hyperlink"/>
          </w:rPr>
          <w:t>Grundlagen zu MQTT</w:t>
        </w:r>
        <w:r>
          <w:rPr>
            <w:webHidden/>
          </w:rPr>
          <w:tab/>
        </w:r>
        <w:r>
          <w:rPr>
            <w:webHidden/>
          </w:rPr>
          <w:fldChar w:fldCharType="begin"/>
        </w:r>
        <w:r>
          <w:rPr>
            <w:webHidden/>
          </w:rPr>
          <w:instrText xml:space="preserve"> PAGEREF _Toc520107697 \h </w:instrText>
        </w:r>
        <w:r>
          <w:rPr>
            <w:webHidden/>
          </w:rPr>
        </w:r>
        <w:r>
          <w:rPr>
            <w:webHidden/>
          </w:rPr>
          <w:fldChar w:fldCharType="separate"/>
        </w:r>
        <w:r>
          <w:rPr>
            <w:webHidden/>
          </w:rPr>
          <w:t>18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98" w:history="1">
        <w:r>
          <w:rPr>
            <w:rStyle w:val="Hyperlink"/>
          </w:rPr>
          <w:t>3.1.1</w:t>
        </w:r>
        <w:r>
          <w:rPr>
            <w:rFonts w:asciiTheme="minorHAnsi" w:eastAsiaTheme="minorEastAsia" w:hAnsiTheme="minorHAnsi" w:cstheme="minorBidi"/>
            <w:sz w:val="22"/>
            <w:szCs w:val="22"/>
            <w:lang w:eastAsia="de-DE"/>
          </w:rPr>
          <w:tab/>
        </w:r>
        <w:r>
          <w:rPr>
            <w:rStyle w:val="Hyperlink"/>
          </w:rPr>
          <w:t>Terminologie</w:t>
        </w:r>
        <w:r>
          <w:rPr>
            <w:webHidden/>
          </w:rPr>
          <w:tab/>
        </w:r>
        <w:r>
          <w:rPr>
            <w:webHidden/>
          </w:rPr>
          <w:fldChar w:fldCharType="begin"/>
        </w:r>
        <w:r>
          <w:rPr>
            <w:webHidden/>
          </w:rPr>
          <w:instrText xml:space="preserve"> PAGEREF _Toc520107698 \h </w:instrText>
        </w:r>
        <w:r>
          <w:rPr>
            <w:webHidden/>
          </w:rPr>
        </w:r>
        <w:r>
          <w:rPr>
            <w:webHidden/>
          </w:rPr>
          <w:fldChar w:fldCharType="separate"/>
        </w:r>
        <w:r>
          <w:rPr>
            <w:webHidden/>
          </w:rPr>
          <w:t>18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699" w:history="1">
        <w:r>
          <w:rPr>
            <w:rStyle w:val="Hyperlink"/>
          </w:rPr>
          <w:t>3.1.2</w:t>
        </w:r>
        <w:r>
          <w:rPr>
            <w:rFonts w:asciiTheme="minorHAnsi" w:eastAsiaTheme="minorEastAsia" w:hAnsiTheme="minorHAnsi" w:cstheme="minorBidi"/>
            <w:sz w:val="22"/>
            <w:szCs w:val="22"/>
            <w:lang w:eastAsia="de-DE"/>
          </w:rPr>
          <w:tab/>
        </w:r>
        <w:r>
          <w:rPr>
            <w:rStyle w:val="Hyperlink"/>
          </w:rPr>
          <w:t>Standard und Architektur</w:t>
        </w:r>
        <w:r>
          <w:rPr>
            <w:webHidden/>
          </w:rPr>
          <w:tab/>
        </w:r>
        <w:r>
          <w:rPr>
            <w:webHidden/>
          </w:rPr>
          <w:fldChar w:fldCharType="begin"/>
        </w:r>
        <w:r>
          <w:rPr>
            <w:webHidden/>
          </w:rPr>
          <w:instrText xml:space="preserve"> PAGEREF _Toc520107699 \h </w:instrText>
        </w:r>
        <w:r>
          <w:rPr>
            <w:webHidden/>
          </w:rPr>
        </w:r>
        <w:r>
          <w:rPr>
            <w:webHidden/>
          </w:rPr>
          <w:fldChar w:fldCharType="separate"/>
        </w:r>
        <w:r>
          <w:rPr>
            <w:webHidden/>
          </w:rPr>
          <w:t>19</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00" w:history="1">
        <w:r>
          <w:rPr>
            <w:rStyle w:val="Hyperlink"/>
          </w:rPr>
          <w:t>3.1.3</w:t>
        </w:r>
        <w:r>
          <w:rPr>
            <w:rFonts w:asciiTheme="minorHAnsi" w:eastAsiaTheme="minorEastAsia" w:hAnsiTheme="minorHAnsi" w:cstheme="minorBidi"/>
            <w:sz w:val="22"/>
            <w:szCs w:val="22"/>
            <w:lang w:eastAsia="de-DE"/>
          </w:rPr>
          <w:tab/>
        </w:r>
        <w:r>
          <w:rPr>
            <w:rStyle w:val="Hyperlink"/>
          </w:rPr>
          <w:t>Features</w:t>
        </w:r>
        <w:r>
          <w:rPr>
            <w:webHidden/>
          </w:rPr>
          <w:tab/>
        </w:r>
        <w:r>
          <w:rPr>
            <w:webHidden/>
          </w:rPr>
          <w:fldChar w:fldCharType="begin"/>
        </w:r>
        <w:r>
          <w:rPr>
            <w:webHidden/>
          </w:rPr>
          <w:instrText xml:space="preserve"> PAGEREF _Toc520107700 \h </w:instrText>
        </w:r>
        <w:r>
          <w:rPr>
            <w:webHidden/>
          </w:rPr>
        </w:r>
        <w:r>
          <w:rPr>
            <w:webHidden/>
          </w:rPr>
          <w:fldChar w:fldCharType="separate"/>
        </w:r>
        <w:r>
          <w:rPr>
            <w:webHidden/>
          </w:rPr>
          <w:t>20</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01" w:history="1">
        <w:r>
          <w:rPr>
            <w:rStyle w:val="Hyperlink"/>
          </w:rPr>
          <w:t>3.1.4</w:t>
        </w:r>
        <w:r>
          <w:rPr>
            <w:rFonts w:asciiTheme="minorHAnsi" w:eastAsiaTheme="minorEastAsia" w:hAnsiTheme="minorHAnsi" w:cstheme="minorBidi"/>
            <w:sz w:val="22"/>
            <w:szCs w:val="22"/>
            <w:lang w:eastAsia="de-DE"/>
          </w:rPr>
          <w:tab/>
        </w:r>
        <w:r>
          <w:rPr>
            <w:rStyle w:val="Hyperlink"/>
          </w:rPr>
          <w:t>MQTT-Kontrollpakete</w:t>
        </w:r>
        <w:r>
          <w:rPr>
            <w:webHidden/>
          </w:rPr>
          <w:tab/>
        </w:r>
        <w:r>
          <w:rPr>
            <w:webHidden/>
          </w:rPr>
          <w:fldChar w:fldCharType="begin"/>
        </w:r>
        <w:r>
          <w:rPr>
            <w:webHidden/>
          </w:rPr>
          <w:instrText xml:space="preserve"> PAGEREF _Toc520107701 \h </w:instrText>
        </w:r>
        <w:r>
          <w:rPr>
            <w:webHidden/>
          </w:rPr>
        </w:r>
        <w:r>
          <w:rPr>
            <w:webHidden/>
          </w:rPr>
          <w:fldChar w:fldCharType="separate"/>
        </w:r>
        <w:r>
          <w:rPr>
            <w:webHidden/>
          </w:rPr>
          <w:t>22</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02" w:history="1">
        <w:r>
          <w:rPr>
            <w:rStyle w:val="Hyperlink"/>
          </w:rPr>
          <w:t>3.2</w:t>
        </w:r>
        <w:r>
          <w:rPr>
            <w:rFonts w:asciiTheme="minorHAnsi" w:eastAsiaTheme="minorEastAsia" w:hAnsiTheme="minorHAnsi" w:cstheme="minorBidi"/>
            <w:sz w:val="22"/>
            <w:szCs w:val="22"/>
            <w:lang w:eastAsia="de-DE"/>
          </w:rPr>
          <w:tab/>
        </w:r>
        <w:r>
          <w:rPr>
            <w:rStyle w:val="Hyperlink"/>
          </w:rPr>
          <w:t>Details zur Funktionsweise des FB "LMqtt_Publisher"</w:t>
        </w:r>
        <w:r>
          <w:rPr>
            <w:webHidden/>
          </w:rPr>
          <w:tab/>
        </w:r>
        <w:r>
          <w:rPr>
            <w:webHidden/>
          </w:rPr>
          <w:fldChar w:fldCharType="begin"/>
        </w:r>
        <w:r>
          <w:rPr>
            <w:webHidden/>
          </w:rPr>
          <w:instrText xml:space="preserve"> PAGEREF _Toc520107702 \h </w:instrText>
        </w:r>
        <w:r>
          <w:rPr>
            <w:webHidden/>
          </w:rPr>
        </w:r>
        <w:r>
          <w:rPr>
            <w:webHidden/>
          </w:rPr>
          <w:fldChar w:fldCharType="separate"/>
        </w:r>
        <w:r>
          <w:rPr>
            <w:webHidden/>
          </w:rPr>
          <w:t>24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03" w:history="1">
        <w:r>
          <w:rPr>
            <w:rStyle w:val="Hyperlink"/>
          </w:rPr>
          <w:t>3.2.1</w:t>
        </w:r>
        <w:r>
          <w:rPr>
            <w:rFonts w:asciiTheme="minorHAnsi" w:eastAsiaTheme="minorEastAsia" w:hAnsiTheme="minorHAnsi" w:cstheme="minorBidi"/>
            <w:sz w:val="22"/>
            <w:szCs w:val="22"/>
            <w:lang w:eastAsia="de-DE"/>
          </w:rPr>
          <w:tab/>
        </w:r>
        <w:r>
          <w:rPr>
            <w:rStyle w:val="Hyperlink"/>
          </w:rPr>
          <w:t>Voraussetzungen und Umsetzung</w:t>
        </w:r>
        <w:r>
          <w:rPr>
            <w:webHidden/>
          </w:rPr>
          <w:tab/>
        </w:r>
        <w:r>
          <w:rPr>
            <w:webHidden/>
          </w:rPr>
          <w:fldChar w:fldCharType="begin"/>
        </w:r>
        <w:r>
          <w:rPr>
            <w:webHidden/>
          </w:rPr>
          <w:instrText xml:space="preserve"> PAGEREF _Toc520107703 \h </w:instrText>
        </w:r>
        <w:r>
          <w:rPr>
            <w:webHidden/>
          </w:rPr>
        </w:r>
        <w:r>
          <w:rPr>
            <w:webHidden/>
          </w:rPr>
          <w:fldChar w:fldCharType="separate"/>
        </w:r>
        <w:r>
          <w:rPr>
            <w:webHidden/>
          </w:rPr>
          <w:t>24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04" w:history="1">
        <w:r>
          <w:rPr>
            <w:rStyle w:val="Hyperlink"/>
          </w:rPr>
          <w:t>3.2.2</w:t>
        </w:r>
        <w:r>
          <w:rPr>
            <w:rFonts w:asciiTheme="minorHAnsi" w:eastAsiaTheme="minorEastAsia" w:hAnsiTheme="minorHAnsi" w:cstheme="minorBidi"/>
            <w:sz w:val="22"/>
            <w:szCs w:val="22"/>
            <w:lang w:eastAsia="de-DE"/>
          </w:rPr>
          <w:tab/>
        </w:r>
        <w:r>
          <w:rPr>
            <w:rStyle w:val="Hyperlink"/>
          </w:rPr>
          <w:t>Zustandsautomat "TCP"</w:t>
        </w:r>
        <w:r>
          <w:rPr>
            <w:webHidden/>
          </w:rPr>
          <w:tab/>
        </w:r>
        <w:r>
          <w:rPr>
            <w:webHidden/>
          </w:rPr>
          <w:fldChar w:fldCharType="begin"/>
        </w:r>
        <w:r>
          <w:rPr>
            <w:webHidden/>
          </w:rPr>
          <w:instrText xml:space="preserve"> PAGEREF _Toc520107704 \h </w:instrText>
        </w:r>
        <w:r>
          <w:rPr>
            <w:webHidden/>
          </w:rPr>
        </w:r>
        <w:r>
          <w:rPr>
            <w:webHidden/>
          </w:rPr>
          <w:fldChar w:fldCharType="separate"/>
        </w:r>
        <w:r>
          <w:rPr>
            <w:webHidden/>
          </w:rPr>
          <w:t>24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05" w:history="1">
        <w:r>
          <w:rPr>
            <w:rStyle w:val="Hyperlink"/>
          </w:rPr>
          <w:t>3.2.3</w:t>
        </w:r>
        <w:r>
          <w:rPr>
            <w:rFonts w:asciiTheme="minorHAnsi" w:eastAsiaTheme="minorEastAsia" w:hAnsiTheme="minorHAnsi" w:cstheme="minorBidi"/>
            <w:sz w:val="22"/>
            <w:szCs w:val="22"/>
            <w:lang w:eastAsia="de-DE"/>
          </w:rPr>
          <w:tab/>
        </w:r>
        <w:r>
          <w:rPr>
            <w:rStyle w:val="Hyperlink"/>
          </w:rPr>
          <w:t>Zustandsautomat "MQTT"</w:t>
        </w:r>
        <w:r>
          <w:rPr>
            <w:webHidden/>
          </w:rPr>
          <w:tab/>
        </w:r>
        <w:r>
          <w:rPr>
            <w:webHidden/>
          </w:rPr>
          <w:fldChar w:fldCharType="begin"/>
        </w:r>
        <w:r>
          <w:rPr>
            <w:webHidden/>
          </w:rPr>
          <w:instrText xml:space="preserve"> PAGEREF _Toc520107705 \h </w:instrText>
        </w:r>
        <w:r>
          <w:rPr>
            <w:webHidden/>
          </w:rPr>
        </w:r>
        <w:r>
          <w:rPr>
            <w:webHidden/>
          </w:rPr>
          <w:fldChar w:fldCharType="separate"/>
        </w:r>
        <w:r>
          <w:rPr>
            <w:webHidden/>
          </w:rPr>
          <w:t>26</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06" w:history="1">
        <w:r>
          <w:rPr>
            <w:rStyle w:val="Hyperlink"/>
          </w:rPr>
          <w:t>3.2.4</w:t>
        </w:r>
        <w:r>
          <w:rPr>
            <w:rFonts w:asciiTheme="minorHAnsi" w:eastAsiaTheme="minorEastAsia" w:hAnsiTheme="minorHAnsi" w:cstheme="minorBidi"/>
            <w:sz w:val="22"/>
            <w:szCs w:val="22"/>
            <w:lang w:eastAsia="de-DE"/>
          </w:rPr>
          <w:tab/>
        </w:r>
        <w:r>
          <w:rPr>
            <w:rStyle w:val="Hyperlink"/>
          </w:rPr>
          <w:t>Zustandsautomat "PUSH"</w:t>
        </w:r>
        <w:r>
          <w:rPr>
            <w:webHidden/>
          </w:rPr>
          <w:tab/>
        </w:r>
        <w:r>
          <w:rPr>
            <w:webHidden/>
          </w:rPr>
          <w:fldChar w:fldCharType="begin"/>
        </w:r>
        <w:r>
          <w:rPr>
            <w:webHidden/>
          </w:rPr>
          <w:instrText xml:space="preserve"> PAGEREF _Toc520107706 \h </w:instrText>
        </w:r>
        <w:r>
          <w:rPr>
            <w:webHidden/>
          </w:rPr>
        </w:r>
        <w:r>
          <w:rPr>
            <w:webHidden/>
          </w:rPr>
          <w:fldChar w:fldCharType="separate"/>
        </w:r>
        <w:r>
          <w:rPr>
            <w:webHidden/>
          </w:rPr>
          <w:t>28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07" w:history="1">
        <w:r>
          <w:rPr>
            <w:rStyle w:val="Hyperlink"/>
          </w:rPr>
          <w:t>3.2.5</w:t>
        </w:r>
        <w:r>
          <w:rPr>
            <w:rFonts w:asciiTheme="minorHAnsi" w:eastAsiaTheme="minorEastAsia" w:hAnsiTheme="minorHAnsi" w:cstheme="minorBidi"/>
            <w:sz w:val="22"/>
            <w:szCs w:val="22"/>
            <w:lang w:eastAsia="de-DE"/>
          </w:rPr>
          <w:tab/>
        </w:r>
        <w:r>
          <w:rPr>
            <w:rStyle w:val="Hyperlink"/>
          </w:rPr>
          <w:t>Funktionsdiagramm</w:t>
        </w:r>
        <w:r>
          <w:rPr>
            <w:webHidden/>
          </w:rPr>
          <w:tab/>
        </w:r>
        <w:r>
          <w:rPr>
            <w:webHidden/>
          </w:rPr>
          <w:fldChar w:fldCharType="begin"/>
        </w:r>
        <w:r>
          <w:rPr>
            <w:webHidden/>
          </w:rPr>
          <w:instrText xml:space="preserve"> PAGEREF _Toc520107707 \h </w:instrText>
        </w:r>
        <w:r>
          <w:rPr>
            <w:webHidden/>
          </w:rPr>
        </w:r>
        <w:r>
          <w:rPr>
            <w:webHidden/>
          </w:rPr>
          <w:fldChar w:fldCharType="separate"/>
        </w:r>
        <w:r>
          <w:rPr>
            <w:webHidden/>
          </w:rPr>
          <w:t>30</w:t>
        </w:r>
        <w:r>
          <w:rPr>
            <w:webHidden/>
          </w:rPr>
          <w:fldChar w:fldCharType="end"/>
        </w:r>
      </w:hyperlink>
    </w:p>
    <w:p>
      <w:pPr>
        <w:pStyle w:val="Verzeichnis1"/>
        <w:tabs>
          <w:tab w:val="left" w:pos="1418"/>
        </w:tabs>
        <w:rPr>
          <w:rFonts w:asciiTheme="minorHAnsi" w:eastAsiaTheme="minorEastAsia" w:hAnsiTheme="minorHAnsi" w:cstheme="minorBidi"/>
          <w:b w:val="0"/>
          <w:sz w:val="22"/>
          <w:lang w:eastAsia="de-DE"/>
        </w:rPr>
      </w:pPr>
      <w:hyperlink w:anchor="_Toc520107708" w:history="1">
        <w:r>
          <w:rPr>
            <w:rStyle w:val="Hyperlink"/>
          </w:rPr>
          <w:t>4</w:t>
        </w:r>
        <w:r>
          <w:rPr>
            <w:rFonts w:asciiTheme="minorHAnsi" w:eastAsiaTheme="minorEastAsia" w:hAnsiTheme="minorHAnsi" w:cstheme="minorBidi"/>
            <w:b w:val="0"/>
            <w:sz w:val="22"/>
            <w:lang w:eastAsia="de-DE"/>
          </w:rPr>
          <w:tab/>
        </w:r>
        <w:r>
          <w:rPr>
            <w:rStyle w:val="Hyperlink"/>
          </w:rPr>
          <w:t>Anhang</w:t>
        </w:r>
        <w:r>
          <w:rPr>
            <w:webHidden/>
          </w:rPr>
          <w:tab/>
        </w:r>
        <w:r>
          <w:rPr>
            <w:webHidden/>
          </w:rPr>
          <w:fldChar w:fldCharType="begin"/>
        </w:r>
        <w:r>
          <w:rPr>
            <w:webHidden/>
          </w:rPr>
          <w:instrText xml:space="preserve"> PAGEREF _Toc520107708 \h </w:instrText>
        </w:r>
        <w:r>
          <w:rPr>
            <w:webHidden/>
          </w:rPr>
        </w:r>
        <w:r>
          <w:rPr>
            <w:webHidden/>
          </w:rPr>
          <w:fldChar w:fldCharType="separate"/>
        </w:r>
        <w:r>
          <w:rPr>
            <w:webHidden/>
          </w:rPr>
          <w:t>31</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09" w:history="1">
        <w:r>
          <w:rPr>
            <w:rStyle w:val="Hyperlink"/>
          </w:rPr>
          <w:t>4.1</w:t>
        </w:r>
        <w:r>
          <w:rPr>
            <w:rFonts w:asciiTheme="minorHAnsi" w:eastAsiaTheme="minorEastAsia" w:hAnsiTheme="minorHAnsi" w:cstheme="minorBidi"/>
            <w:sz w:val="22"/>
            <w:szCs w:val="22"/>
            <w:lang w:eastAsia="de-DE"/>
          </w:rPr>
          <w:tab/>
        </w:r>
        <w:r>
          <w:rPr>
            <w:rStyle w:val="Hyperlink"/>
          </w:rPr>
          <w:t>Service und Support</w:t>
        </w:r>
        <w:r>
          <w:rPr>
            <w:webHidden/>
          </w:rPr>
          <w:tab/>
        </w:r>
        <w:r>
          <w:rPr>
            <w:webHidden/>
          </w:rPr>
          <w:fldChar w:fldCharType="begin"/>
        </w:r>
        <w:r>
          <w:rPr>
            <w:webHidden/>
          </w:rPr>
          <w:instrText xml:space="preserve"> PAGEREF _Toc520107709 \h </w:instrText>
        </w:r>
        <w:r>
          <w:rPr>
            <w:webHidden/>
          </w:rPr>
        </w:r>
        <w:r>
          <w:rPr>
            <w:webHidden/>
          </w:rPr>
          <w:fldChar w:fldCharType="separate"/>
        </w:r>
        <w:r>
          <w:rPr>
            <w:webHidden/>
          </w:rPr>
          <w:t>31</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10" w:history="1">
        <w:r>
          <w:rPr>
            <w:rStyle w:val="Hyperlink"/>
          </w:rPr>
          <w:t>4.2</w:t>
        </w:r>
        <w:r>
          <w:rPr>
            <w:rFonts w:asciiTheme="minorHAnsi" w:eastAsiaTheme="minorEastAsia" w:hAnsiTheme="minorHAnsi" w:cstheme="minorBidi"/>
            <w:sz w:val="22"/>
            <w:szCs w:val="22"/>
            <w:lang w:eastAsia="de-DE"/>
          </w:rPr>
          <w:tab/>
        </w:r>
        <w:r>
          <w:rPr>
            <w:rStyle w:val="Hyperlink"/>
          </w:rPr>
          <w:t>Links und Literatur</w:t>
        </w:r>
        <w:r>
          <w:rPr>
            <w:webHidden/>
          </w:rPr>
          <w:tab/>
        </w:r>
        <w:r>
          <w:rPr>
            <w:webHidden/>
          </w:rPr>
          <w:fldChar w:fldCharType="begin"/>
        </w:r>
        <w:r>
          <w:rPr>
            <w:webHidden/>
          </w:rPr>
          <w:instrText xml:space="preserve"> PAGEREF _Toc520107710 \h </w:instrText>
        </w:r>
        <w:r>
          <w:rPr>
            <w:webHidden/>
          </w:rPr>
        </w:r>
        <w:r>
          <w:rPr>
            <w:webHidden/>
          </w:rPr>
          <w:fldChar w:fldCharType="separate"/>
        </w:r>
        <w:r>
          <w:rPr>
            <w:webHidden/>
          </w:rPr>
          <w:t>32</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711" w:history="1">
        <w:r>
          <w:rPr>
            <w:rStyle w:val="Hyperlink"/>
          </w:rPr>
          <w:t>4.3</w:t>
        </w:r>
        <w:r>
          <w:rPr>
            <w:rFonts w:asciiTheme="minorHAnsi" w:eastAsiaTheme="minorEastAsia" w:hAnsiTheme="minorHAnsi" w:cstheme="minorBidi"/>
            <w:sz w:val="22"/>
            <w:szCs w:val="22"/>
            <w:lang w:eastAsia="de-DE"/>
          </w:rPr>
          <w:tab/>
        </w:r>
        <w:r>
          <w:rPr>
            <w:rStyle w:val="Hyperlink"/>
          </w:rPr>
          <w:t>Änderungsdokumentation</w:t>
        </w:r>
        <w:r>
          <w:rPr>
            <w:webHidden/>
          </w:rPr>
          <w:tab/>
        </w:r>
        <w:r>
          <w:rPr>
            <w:webHidden/>
          </w:rPr>
          <w:fldChar w:fldCharType="begin"/>
        </w:r>
        <w:r>
          <w:rPr>
            <w:webHidden/>
          </w:rPr>
          <w:instrText xml:space="preserve"> PAGEREF _Toc520107711 \h </w:instrText>
        </w:r>
        <w:r>
          <w:rPr>
            <w:webHidden/>
          </w:rPr>
        </w:r>
        <w:r>
          <w:rPr>
            <w:webHidden/>
          </w:rPr>
          <w:fldChar w:fldCharType="separate"/>
        </w:r>
        <w:r>
          <w:rPr>
            <w:webHidden/>
          </w:rPr>
          <w:t>32</w:t>
        </w:r>
        <w:r>
          <w:rPr>
            <w:webHidden/>
          </w:rPr>
          <w:fldChar w:fldCharType="end"/>
        </w:r>
      </w:hyperlink>
    </w:p>
    <w:p>
      <w:pPr>
        <w:pStyle w:val="Verzeichnis2"/>
      </w:pPr>
      <w:r>
        <w:fldChar w:fldCharType="end"/>
      </w:r>
    </w:p>
    <w:p>
      <w:pPr>
        <w:pStyle w:val="Blocktext"/>
        <w:rPr>
          <w:lang w:val="en-US"/>
        </w:rPr>
        <w:sectPr>
          <w:headerReference w:type="even" r:id="rId22"/>
          <w:headerReference w:type="default" r:id="rId23"/>
          <w:pgSz w:w="11907" w:h="16839" w:code="9"/>
          <w:pgMar w:top="1134" w:right="1701" w:bottom="1701" w:left="1701" w:header="1134" w:footer="567" w:gutter="0"/>
          <w:cols w:space="708"/>
          <w:docGrid w:linePitch="360"/>
        </w:sectPr>
      </w:pPr>
    </w:p>
    <w:p>
      <w:pPr>
        <w:pStyle w:val="berschrift1"/>
        <w:pageBreakBefore w:val="0"/>
      </w:pPr>
      <w:bookmarkStart w:id="5" w:name="_Toc473820186"/>
      <w:bookmarkStart w:id="6" w:name="_Toc520107685"/>
      <w:r>
        <w:lastRenderedPageBreak/>
        <w:t>Einführung</w:t>
      </w:r>
      <w:bookmarkEnd w:id="5"/>
      <w:bookmarkEnd w:id="6"/>
    </w:p>
    <w:p>
      <w:pPr>
        <w:pStyle w:val="berschrift2"/>
      </w:pPr>
      <w:bookmarkStart w:id="7" w:name="_Toc473820187"/>
      <w:bookmarkStart w:id="8" w:name="_Toc520107686"/>
      <w:r>
        <w:t>Überblick</w:t>
      </w:r>
      <w:bookmarkEnd w:id="7"/>
      <w:bookmarkEnd w:id="8"/>
      <w:r>
        <w:t xml:space="preserve"> </w:t>
      </w:r>
    </w:p>
    <w:p>
      <w:pPr>
        <w:pStyle w:val="Blocktitel"/>
        <w:rPr>
          <w:lang w:eastAsia="ja-JP"/>
        </w:rPr>
      </w:pPr>
      <w:r>
        <w:rPr>
          <w:lang w:eastAsia="ja-JP"/>
        </w:rPr>
        <w:t>Motivation</w:t>
      </w:r>
    </w:p>
    <w:p>
      <w:pPr>
        <w:pStyle w:val="Blocktext"/>
        <w:rPr>
          <w:lang w:eastAsia="ja-JP"/>
        </w:rPr>
      </w:pPr>
      <w:r>
        <w:t>Die Digitalisierung hat einen großen Einfluss auf die Wirtschaft und die Gesellschaft und schreitet unaufhaltsam voran. Das "</w:t>
      </w:r>
      <w:r>
        <w:rPr>
          <w:lang w:eastAsia="ja-JP"/>
        </w:rPr>
        <w:t>Internet of Things"</w:t>
      </w:r>
      <w:r>
        <w:t xml:space="preserve"> (Internet der Dinge, Kurzform: IoT) ist einer der Haupttreiber der Digitalisierung.</w:t>
      </w:r>
      <w:r>
        <w:rPr>
          <w:lang w:eastAsia="ja-JP"/>
        </w:rPr>
        <w:t xml:space="preserve"> Der Begriff "Internet of Things" steht synonym für eine der größten aktuellen Veränderungsdynamiken: die zunehmende Vernetzung und Automatisierung von Geräten, Maschinen und Produkten.</w:t>
      </w:r>
    </w:p>
    <w:p>
      <w:pPr>
        <w:pStyle w:val="Blocktext"/>
        <w:rPr>
          <w:lang w:eastAsia="ja-JP"/>
        </w:rPr>
      </w:pPr>
      <w:r>
        <w:rPr>
          <w:lang w:eastAsia="ja-JP"/>
        </w:rPr>
        <w:t>Das Protokoll "Message Queue Telemetry Transport" (Kurzform: MQTT) wird im "Internet of Things" als Kommunikationsprotokoll eingesetzt.</w:t>
      </w:r>
      <w:r>
        <w:t xml:space="preserve"> Durch s</w:t>
      </w:r>
      <w:r>
        <w:rPr>
          <w:lang w:eastAsia="ja-JP"/>
        </w:rPr>
        <w:t xml:space="preserve">einen leichtgewichtigen Ansatz eröffnet es ganz neue Möglichkeiten in der Automatisierung. </w:t>
      </w:r>
    </w:p>
    <w:p>
      <w:pPr>
        <w:pStyle w:val="Blocktitel"/>
        <w:rPr>
          <w:lang w:eastAsia="ja-JP"/>
        </w:rPr>
      </w:pPr>
      <w:r>
        <w:rPr>
          <w:lang w:eastAsia="ja-JP"/>
        </w:rPr>
        <w:t>Schlank und Schnell: MQTT</w:t>
      </w:r>
    </w:p>
    <w:p>
      <w:pPr>
        <w:pStyle w:val="Blocktext"/>
        <w:rPr>
          <w:lang w:eastAsia="ja-JP"/>
        </w:rPr>
      </w:pPr>
      <w:r>
        <w:rPr>
          <w:lang w:eastAsia="ja-JP"/>
        </w:rPr>
        <w:t>Das MQTT ist ein einfach aufgebautes binäres Publish- und Subscribe-Protokoll auf TCP/IP-Ebene.</w:t>
      </w:r>
      <w:r>
        <w:t xml:space="preserve"> </w:t>
      </w:r>
      <w:r>
        <w:rPr>
          <w:lang w:eastAsia="ja-JP"/>
        </w:rPr>
        <w:t>Es eignet sich für den Nachrichtenaustausch zwischen Geräten mit geringer Funktionalität und für die Übertragung über unzuverlässige Netze mit geringer Bandbreite und hoher Latenz. Mit diesen Charakteristiken spielt MQTT eine wichtige Rolle für das IoT und in der M2M-Kommunikation.</w:t>
      </w:r>
    </w:p>
    <w:p>
      <w:pPr>
        <w:pStyle w:val="Blocktitel"/>
      </w:pPr>
      <w:r>
        <w:t>Merkmale von MQTT</w:t>
      </w:r>
    </w:p>
    <w:p>
      <w:pPr>
        <w:pStyle w:val="Blocktext"/>
      </w:pPr>
      <w:r>
        <w:t>Das MQTT-Protokoll hebt sich durch folgende Merkmale hervor:</w:t>
      </w:r>
    </w:p>
    <w:p>
      <w:pPr>
        <w:pStyle w:val="BulletText1"/>
      </w:pPr>
      <w:r>
        <w:t>Leichtgewichtiges Protokoll mit geringem Transport-Overhead</w:t>
      </w:r>
    </w:p>
    <w:p>
      <w:pPr>
        <w:pStyle w:val="BulletText1"/>
      </w:pPr>
      <w:r>
        <w:t>Minimaler Bedarf an Netzwerk-Bandbreite durch Push-Mechanismus</w:t>
      </w:r>
    </w:p>
    <w:p>
      <w:pPr>
        <w:pStyle w:val="BulletText1"/>
      </w:pPr>
      <w:r>
        <w:t>Funktion zum Wiederverbinden nach Abbruch der Verbindung</w:t>
      </w:r>
    </w:p>
    <w:p>
      <w:pPr>
        <w:pStyle w:val="BulletText1"/>
      </w:pPr>
      <w:r>
        <w:t>Erneutes Ausliefern von Nachrichten nach Verbindungsabbruch</w:t>
      </w:r>
    </w:p>
    <w:p>
      <w:pPr>
        <w:pStyle w:val="BulletText1"/>
      </w:pPr>
      <w:r>
        <w:t>Mechanismus zur Benachrichtigung von Interessenten nach einem unvorhergesehen Verbindungsabbruch eines Clients</w:t>
      </w:r>
    </w:p>
    <w:p>
      <w:pPr>
        <w:pStyle w:val="BulletText1"/>
      </w:pPr>
      <w:r>
        <w:t>Einfache Nutzung und Implementierung durch einen geringen Satz an Befehl-Kommandos</w:t>
      </w:r>
    </w:p>
    <w:p>
      <w:pPr>
        <w:pStyle w:val="BulletText1"/>
      </w:pPr>
      <w:r>
        <w:t>Qualitätssicherung (QoS-Level) mit verschiedenen Zuverlässigkeitsstufen für die Nachrichten-Zustellung</w:t>
      </w:r>
    </w:p>
    <w:p>
      <w:pPr>
        <w:pStyle w:val="BulletText1"/>
      </w:pPr>
      <w:r>
        <w:t>Optionale Verschlüsselung der Nachrichten mit SSL/TLS</w:t>
      </w:r>
    </w:p>
    <w:p>
      <w:pPr>
        <w:pStyle w:val="BulletText1"/>
      </w:pPr>
      <w:r>
        <w:t>Authentifizierung der Publisher und der Subscriber mit Benutzername und Passwort</w:t>
      </w:r>
    </w:p>
    <w:p>
      <w:pPr>
        <w:pStyle w:val="Blocktitel"/>
        <w:rPr>
          <w:lang w:eastAsia="ja-JP"/>
        </w:rPr>
      </w:pPr>
      <w:r>
        <w:rPr>
          <w:lang w:eastAsia="ja-JP"/>
        </w:rPr>
        <w:t>Applikative Umsetzung</w:t>
      </w:r>
    </w:p>
    <w:p>
      <w:pPr>
        <w:pStyle w:val="Blocktext"/>
        <w:rPr>
          <w:lang w:eastAsia="ja-JP"/>
        </w:rPr>
      </w:pPr>
      <w:r>
        <w:rPr>
          <w:lang w:eastAsia="ja-JP"/>
        </w:rPr>
        <w:t xml:space="preserve">Um das MQTT-Protokoll in eine SIMATIC S7-Steuerung zu implementieren, wird Ihnen mit diesem Anwendungsbeispiel eine adäquate Lösung angeboten. </w:t>
      </w:r>
    </w:p>
    <w:p>
      <w:pPr>
        <w:pStyle w:val="Blocktext"/>
        <w:rPr>
          <w:lang w:eastAsia="ja-JP"/>
        </w:rPr>
      </w:pPr>
      <w:r>
        <w:rPr>
          <w:lang w:eastAsia="ja-JP"/>
        </w:rPr>
        <w:t>Das Anwendungsbeispiel stellt Ihnen je einen Funktionsbaustein für die SIMATIC S7</w:t>
      </w:r>
      <w:r>
        <w:rPr>
          <w:lang w:eastAsia="ja-JP"/>
        </w:rPr>
        <w:noBreakHyphen/>
        <w:t xml:space="preserve">1500/ SIMATIC S7-1200 und für die SIMATIC S7-300 zur Verfügung. Der Funktionsbaustein "LMqtt_Publisher" integriert die MQTT-Client-Funktion und ermöglicht es Ihnen, MQTT-Nachrichten an einen Broker zu übermitteln (Publisher-Rolle). </w:t>
      </w:r>
    </w:p>
    <w:p>
      <w:pPr>
        <w:pStyle w:val="BildBeschriftungtextBreite"/>
      </w:pPr>
      <w:r>
        <w:lastRenderedPageBreak/>
        <w:t>Abbildung </w:t>
      </w:r>
      <w:fldSimple w:instr=" STYLEREF 1 \s ">
        <w:r>
          <w:rPr>
            <w:noProof/>
          </w:rPr>
          <w:t>1</w:t>
        </w:r>
      </w:fldSimple>
      <w:r>
        <w:noBreakHyphen/>
      </w:r>
      <w:fldSimple w:instr=" SEQ Abbildung \* ARABIC \s 1 ">
        <w:r>
          <w:rPr>
            <w:noProof/>
          </w:rPr>
          <w:t>1</w:t>
        </w:r>
      </w:fldSimple>
    </w:p>
    <w:p>
      <w:pPr>
        <w:pStyle w:val="BildBeschriftungtextBreite"/>
        <w:keepNext w:val="0"/>
        <w:rPr>
          <w:lang w:eastAsia="ja-JP"/>
        </w:rPr>
      </w:pPr>
      <w:r>
        <w:rPr>
          <w:noProof/>
          <w:lang w:eastAsia="de-DE"/>
        </w:rPr>
        <w:drawing>
          <wp:inline distT="0" distB="0" distL="0" distR="0">
            <wp:extent cx="2962275" cy="2314575"/>
            <wp:effectExtent l="0" t="0" r="9525" b="952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MQTT\Main.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62275" cy="2314575"/>
                    </a:xfrm>
                    <a:prstGeom prst="rect">
                      <a:avLst/>
                    </a:prstGeom>
                    <a:noFill/>
                    <a:ln>
                      <a:noFill/>
                    </a:ln>
                  </pic:spPr>
                </pic:pic>
              </a:graphicData>
            </a:graphic>
          </wp:inline>
        </w:drawing>
      </w: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Der MQTT-Client unterstützt die MQTT-Protokollversion 3.1.</w:t>
            </w:r>
          </w:p>
        </w:tc>
      </w:tr>
    </w:tbl>
    <w:p>
      <w:pPr>
        <w:pStyle w:val="Blocktext"/>
        <w:rPr>
          <w:lang w:eastAsia="ja-JP"/>
        </w:rPr>
      </w:pPr>
    </w:p>
    <w:p>
      <w:pPr>
        <w:pStyle w:val="berschrift2"/>
      </w:pPr>
      <w:bookmarkStart w:id="9" w:name="_Toc473820188"/>
      <w:bookmarkStart w:id="10" w:name="_Toc520107687"/>
      <w:r>
        <w:t>Funktionsweise</w:t>
      </w:r>
      <w:bookmarkEnd w:id="9"/>
      <w:bookmarkEnd w:id="10"/>
      <w:r>
        <w:t xml:space="preserve"> </w:t>
      </w:r>
    </w:p>
    <w:p>
      <w:pPr>
        <w:pStyle w:val="Blocktitel"/>
        <w:rPr>
          <w:lang w:eastAsia="ja-JP"/>
        </w:rPr>
      </w:pPr>
      <w:r>
        <w:rPr>
          <w:lang w:eastAsia="ja-JP"/>
        </w:rPr>
        <w:t>Schematische Darstellung</w:t>
      </w:r>
    </w:p>
    <w:p>
      <w:pPr>
        <w:pStyle w:val="Blocktext"/>
        <w:rPr>
          <w:lang w:eastAsia="ja-JP"/>
        </w:rPr>
      </w:pPr>
      <w:r>
        <w:rPr>
          <w:lang w:eastAsia="ja-JP"/>
        </w:rPr>
        <w:t>Die folgende Abbildung zeigt die wichtigsten Zusammenhänge zwischen den beteiligten Komponenten und Schritte, die für eine MQTT-Kommunikation notwendig sind.</w:t>
      </w:r>
    </w:p>
    <w:p>
      <w:pPr>
        <w:pStyle w:val="BildBeschriftungtextBreite"/>
      </w:pPr>
      <w:r>
        <w:t>Abbildung </w:t>
      </w:r>
      <w:fldSimple w:instr=" STYLEREF 1 \s ">
        <w:r>
          <w:rPr>
            <w:noProof/>
          </w:rPr>
          <w:t>1</w:t>
        </w:r>
      </w:fldSimple>
      <w:r>
        <w:noBreakHyphen/>
      </w:r>
      <w:fldSimple w:instr=" SEQ Abbildung \* ARABIC \s 1 ">
        <w:r>
          <w:rPr>
            <w:noProof/>
          </w:rPr>
          <w:t>2</w:t>
        </w:r>
      </w:fldSimple>
    </w:p>
    <w:p>
      <w:pPr>
        <w:pStyle w:val="Blocktext"/>
        <w:ind w:hanging="74"/>
      </w:pPr>
      <w:r>
        <w:object w:dxaOrig="3683" w:dyaOrig="53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9pt;height:275.2pt" o:ole="">
            <v:imagedata r:id="rId25" o:title="" cropbottom="32082f"/>
          </v:shape>
          <o:OLEObject Type="Embed" ProgID="PowerPoint.Slide.12" ShapeID="_x0000_i1025" DrawAspect="Content" ObjectID="_1594465362" r:id="rId26"/>
        </w:object>
      </w:r>
    </w:p>
    <w:p>
      <w:pPr>
        <w:pStyle w:val="Blocktext"/>
        <w:ind w:hanging="74"/>
      </w:pPr>
    </w:p>
    <w:p>
      <w:pPr>
        <w:pStyle w:val="TabellenBeschriftungTextBreite"/>
        <w:pageBreakBefore/>
      </w:pPr>
      <w:r>
        <w:lastRenderedPageBreak/>
        <w:t>Tabelle </w:t>
      </w:r>
      <w:fldSimple w:instr=" STYLEREF 1 \s  \* MERGEFORMAT ">
        <w:r>
          <w:rPr>
            <w:noProof/>
          </w:rPr>
          <w:t>1</w:t>
        </w:r>
      </w:fldSimple>
      <w:r>
        <w:t>-</w:t>
      </w:r>
      <w:fldSimple w:instr=" SEQ Tabelle \* Arabic \s 1  \* MERGEFORMAT ">
        <w:r>
          <w:rPr>
            <w:noProof/>
          </w:rPr>
          <w:t>1</w:t>
        </w:r>
      </w:fldSimple>
    </w:p>
    <w:tbl>
      <w:tblPr>
        <w:tblStyle w:val="Tabellenraster"/>
        <w:tblW w:w="0" w:type="auto"/>
        <w:tblInd w:w="1247" w:type="dxa"/>
        <w:tblLook w:val="04A0" w:firstRow="1" w:lastRow="0" w:firstColumn="1" w:lastColumn="0" w:noHBand="0" w:noVBand="1"/>
      </w:tblPr>
      <w:tblGrid>
        <w:gridCol w:w="988"/>
        <w:gridCol w:w="6486"/>
      </w:tblGrid>
      <w:tr>
        <w:trPr>
          <w:tblHeader/>
        </w:trPr>
        <w:tc>
          <w:tcPr>
            <w:tcW w:w="988" w:type="dxa"/>
            <w:tcBorders>
              <w:bottom w:val="single" w:sz="12" w:space="0" w:color="auto"/>
            </w:tcBorders>
            <w:shd w:val="clear" w:color="auto" w:fill="E6E6E6"/>
          </w:tcPr>
          <w:p>
            <w:pPr>
              <w:pStyle w:val="TabelleKopfzentriert"/>
            </w:pPr>
            <w:r>
              <w:t>Schritt</w:t>
            </w:r>
          </w:p>
        </w:tc>
        <w:tc>
          <w:tcPr>
            <w:tcW w:w="6486" w:type="dxa"/>
            <w:tcBorders>
              <w:bottom w:val="single" w:sz="12" w:space="0" w:color="auto"/>
            </w:tcBorders>
            <w:shd w:val="clear" w:color="auto" w:fill="E6E6E6"/>
          </w:tcPr>
          <w:p>
            <w:pPr>
              <w:pStyle w:val="TabelleKopfzentriert"/>
            </w:pPr>
            <w:r>
              <w:t>Beschreibung</w:t>
            </w:r>
          </w:p>
        </w:tc>
      </w:tr>
      <w:tr>
        <w:tc>
          <w:tcPr>
            <w:tcW w:w="988" w:type="dxa"/>
            <w:tcBorders>
              <w:top w:val="single" w:sz="12" w:space="0" w:color="auto"/>
            </w:tcBorders>
            <w:shd w:val="clear" w:color="auto" w:fill="auto"/>
          </w:tcPr>
          <w:p>
            <w:pPr>
              <w:pStyle w:val="TabelleTextlinks"/>
              <w:keepNext/>
            </w:pPr>
            <w:r>
              <w:t>1</w:t>
            </w:r>
          </w:p>
        </w:tc>
        <w:tc>
          <w:tcPr>
            <w:tcW w:w="6486" w:type="dxa"/>
            <w:tcBorders>
              <w:top w:val="single" w:sz="12" w:space="0" w:color="auto"/>
            </w:tcBorders>
            <w:shd w:val="clear" w:color="auto" w:fill="auto"/>
          </w:tcPr>
          <w:p>
            <w:pPr>
              <w:pStyle w:val="TabelleTextlinks"/>
            </w:pPr>
            <w:r>
              <w:t xml:space="preserve">Installieren und konfigurieren Sie den MQTT-Broker. </w:t>
            </w:r>
          </w:p>
        </w:tc>
      </w:tr>
      <w:tr>
        <w:tc>
          <w:tcPr>
            <w:tcW w:w="988" w:type="dxa"/>
            <w:shd w:val="clear" w:color="auto" w:fill="auto"/>
          </w:tcPr>
          <w:p>
            <w:pPr>
              <w:pStyle w:val="TabelleTextlinks"/>
            </w:pPr>
            <w:r>
              <w:t>2</w:t>
            </w:r>
          </w:p>
        </w:tc>
        <w:tc>
          <w:tcPr>
            <w:tcW w:w="6486" w:type="dxa"/>
            <w:shd w:val="clear" w:color="auto" w:fill="auto"/>
          </w:tcPr>
          <w:p>
            <w:pPr>
              <w:pStyle w:val="TabelleTextlinks"/>
            </w:pPr>
            <w:r>
              <w:t>Erstellen Sie ein Projekt in STEP 7 (TIA Portal) mit Ihrer CPU.</w:t>
            </w:r>
          </w:p>
        </w:tc>
      </w:tr>
      <w:tr>
        <w:tc>
          <w:tcPr>
            <w:tcW w:w="988" w:type="dxa"/>
            <w:shd w:val="clear" w:color="auto" w:fill="auto"/>
          </w:tcPr>
          <w:p>
            <w:pPr>
              <w:pStyle w:val="TabelleTextlinks"/>
            </w:pPr>
            <w:r>
              <w:t>3</w:t>
            </w:r>
          </w:p>
        </w:tc>
        <w:tc>
          <w:tcPr>
            <w:tcW w:w="6486" w:type="dxa"/>
            <w:shd w:val="clear" w:color="auto" w:fill="auto"/>
          </w:tcPr>
          <w:p>
            <w:pPr>
              <w:pStyle w:val="TabelleTextlinks"/>
            </w:pPr>
            <w:r>
              <w:t>Der Funktionsbaustein „</w:t>
            </w:r>
            <w:r>
              <w:rPr>
                <w:lang w:eastAsia="ja-JP"/>
              </w:rPr>
              <w:t>LMqtt_Publisher</w:t>
            </w:r>
            <w:r>
              <w:t>“ übernimmt die Rolle des Publisher und sendet MQTT-Nachrichten an den Broker.</w:t>
            </w:r>
          </w:p>
        </w:tc>
      </w:tr>
      <w:tr>
        <w:tc>
          <w:tcPr>
            <w:tcW w:w="988" w:type="dxa"/>
            <w:shd w:val="clear" w:color="auto" w:fill="auto"/>
          </w:tcPr>
          <w:p>
            <w:pPr>
              <w:pStyle w:val="TabelleTextlinks"/>
            </w:pPr>
            <w:r>
              <w:t>4</w:t>
            </w:r>
          </w:p>
        </w:tc>
        <w:tc>
          <w:tcPr>
            <w:tcW w:w="6486" w:type="dxa"/>
            <w:shd w:val="clear" w:color="auto" w:fill="auto"/>
          </w:tcPr>
          <w:p>
            <w:pPr>
              <w:pStyle w:val="TabelleTextlinks"/>
            </w:pPr>
            <w:r>
              <w:t>Die MQTT-Nachricht wird im Broker gespeichert und an die Subscriber verteilt.</w:t>
            </w:r>
          </w:p>
        </w:tc>
      </w:tr>
    </w:tbl>
    <w:p>
      <w:pPr>
        <w:pStyle w:val="Blocktext"/>
        <w:ind w:hanging="74"/>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 xml:space="preserve">Eine detailliertere Funktionsbeschreibung des Funktionsbausteins "LMqtt_Publisher" und Informationen zum MQTT-Protokoll finden Sie im </w:t>
            </w:r>
            <w:r>
              <w:br/>
            </w:r>
            <w:r>
              <w:rPr>
                <w:color w:val="0000FF"/>
                <w:u w:val="single"/>
              </w:rPr>
              <w:t xml:space="preserve">Kapitel </w:t>
            </w:r>
            <w:r>
              <w:rPr>
                <w:color w:val="0000FF"/>
                <w:u w:val="single"/>
              </w:rPr>
              <w:fldChar w:fldCharType="begin"/>
            </w:r>
            <w:r>
              <w:rPr>
                <w:color w:val="0000FF"/>
                <w:u w:val="single"/>
              </w:rPr>
              <w:instrText xml:space="preserve"> REF _Ref486421821 \r \h  \* MERGEFORMAT </w:instrText>
            </w:r>
            <w:r>
              <w:rPr>
                <w:color w:val="0000FF"/>
                <w:u w:val="single"/>
              </w:rPr>
            </w:r>
            <w:r>
              <w:rPr>
                <w:color w:val="0000FF"/>
                <w:u w:val="single"/>
              </w:rPr>
              <w:fldChar w:fldCharType="separate"/>
            </w:r>
            <w:r>
              <w:rPr>
                <w:color w:val="0000FF"/>
                <w:u w:val="single"/>
              </w:rPr>
              <w:t>3</w:t>
            </w:r>
            <w:r>
              <w:rPr>
                <w:color w:val="0000FF"/>
                <w:u w:val="single"/>
              </w:rPr>
              <w:fldChar w:fldCharType="end"/>
            </w:r>
            <w:r>
              <w:t>.</w:t>
            </w:r>
          </w:p>
        </w:tc>
      </w:tr>
    </w:tbl>
    <w:p>
      <w:pPr>
        <w:pStyle w:val="Blocktext"/>
      </w:pPr>
    </w:p>
    <w:p>
      <w:pPr>
        <w:pStyle w:val="berschrift2"/>
      </w:pPr>
      <w:bookmarkStart w:id="11" w:name="_Toc462056930"/>
      <w:bookmarkStart w:id="12" w:name="_Toc468106718"/>
      <w:bookmarkStart w:id="13" w:name="_Toc520107688"/>
      <w:r>
        <w:t>Verwendete Komponenten</w:t>
      </w:r>
      <w:bookmarkEnd w:id="11"/>
      <w:bookmarkEnd w:id="12"/>
      <w:bookmarkEnd w:id="13"/>
    </w:p>
    <w:p>
      <w:pPr>
        <w:pStyle w:val="Blocktext"/>
        <w:rPr>
          <w:lang w:eastAsia="ja-JP"/>
        </w:rPr>
      </w:pPr>
      <w:r>
        <w:rPr>
          <w:lang w:eastAsia="ja-JP"/>
        </w:rPr>
        <w:t xml:space="preserve">Dieses Anwendungsbeispiel wurde mit diesen Hard- und Softwarekomponenten erstellt: </w:t>
      </w:r>
    </w:p>
    <w:p>
      <w:pPr>
        <w:pStyle w:val="TabellenBeschriftungTextBreite"/>
      </w:pPr>
      <w:r>
        <w:t xml:space="preserve">Tabelle </w:t>
      </w:r>
      <w:fldSimple w:instr=" STYLEREF 1 \s  \* MERGEFORMAT ">
        <w:r>
          <w:rPr>
            <w:noProof/>
          </w:rPr>
          <w:t>1</w:t>
        </w:r>
      </w:fldSimple>
      <w:r>
        <w:t>-</w:t>
      </w:r>
      <w:fldSimple w:instr=" SEQ Tabelle \* Arabic \s 1  \* MERGEFORMAT ">
        <w:r>
          <w:rPr>
            <w:noProof/>
          </w:rPr>
          <w:t>2</w:t>
        </w:r>
      </w:fldSimple>
    </w:p>
    <w:tbl>
      <w:tblPr>
        <w:tblStyle w:val="Tabellenraster"/>
        <w:tblW w:w="0" w:type="auto"/>
        <w:tblInd w:w="1247" w:type="dxa"/>
        <w:tblLayout w:type="fixed"/>
        <w:tblLook w:val="04A0" w:firstRow="1" w:lastRow="0" w:firstColumn="1" w:lastColumn="0" w:noHBand="0" w:noVBand="1"/>
      </w:tblPr>
      <w:tblGrid>
        <w:gridCol w:w="1838"/>
        <w:gridCol w:w="851"/>
        <w:gridCol w:w="2126"/>
        <w:gridCol w:w="2657"/>
      </w:tblGrid>
      <w:tr>
        <w:trPr>
          <w:tblHeader/>
        </w:trPr>
        <w:tc>
          <w:tcPr>
            <w:tcW w:w="1838" w:type="dxa"/>
            <w:tcBorders>
              <w:bottom w:val="single" w:sz="12" w:space="0" w:color="auto"/>
            </w:tcBorders>
            <w:shd w:val="clear" w:color="auto" w:fill="E6E6E6"/>
          </w:tcPr>
          <w:p>
            <w:pPr>
              <w:pStyle w:val="TabelleKopfzentriert"/>
            </w:pPr>
            <w:r>
              <w:t>Komponente</w:t>
            </w:r>
          </w:p>
        </w:tc>
        <w:tc>
          <w:tcPr>
            <w:tcW w:w="851" w:type="dxa"/>
            <w:tcBorders>
              <w:bottom w:val="single" w:sz="12" w:space="0" w:color="auto"/>
            </w:tcBorders>
            <w:shd w:val="clear" w:color="auto" w:fill="E6E6E6"/>
          </w:tcPr>
          <w:p>
            <w:pPr>
              <w:pStyle w:val="TabelleKopfzentriert"/>
            </w:pPr>
            <w:r>
              <w:t>Anzahl</w:t>
            </w:r>
          </w:p>
        </w:tc>
        <w:tc>
          <w:tcPr>
            <w:tcW w:w="2126" w:type="dxa"/>
            <w:tcBorders>
              <w:bottom w:val="single" w:sz="12" w:space="0" w:color="auto"/>
            </w:tcBorders>
            <w:shd w:val="clear" w:color="auto" w:fill="E6E6E6"/>
          </w:tcPr>
          <w:p>
            <w:pPr>
              <w:pStyle w:val="TabelleKopfzentriert"/>
            </w:pPr>
            <w:r>
              <w:t>Artikelnummer</w:t>
            </w:r>
          </w:p>
        </w:tc>
        <w:tc>
          <w:tcPr>
            <w:tcW w:w="2657" w:type="dxa"/>
            <w:tcBorders>
              <w:bottom w:val="single" w:sz="12" w:space="0" w:color="auto"/>
            </w:tcBorders>
            <w:shd w:val="clear" w:color="auto" w:fill="E6E6E6"/>
          </w:tcPr>
          <w:p>
            <w:pPr>
              <w:pStyle w:val="TabelleKopfzentriert"/>
            </w:pPr>
            <w:r>
              <w:t>Hinweis</w:t>
            </w:r>
          </w:p>
        </w:tc>
      </w:tr>
      <w:tr>
        <w:tc>
          <w:tcPr>
            <w:tcW w:w="1838" w:type="dxa"/>
            <w:tcBorders>
              <w:top w:val="single" w:sz="12" w:space="0" w:color="auto"/>
              <w:bottom w:val="single" w:sz="4" w:space="0" w:color="auto"/>
            </w:tcBorders>
            <w:shd w:val="clear" w:color="auto" w:fill="auto"/>
          </w:tcPr>
          <w:p>
            <w:pPr>
              <w:pStyle w:val="TabelleTextlinks"/>
              <w:keepNext/>
            </w:pPr>
            <w:r>
              <w:t>CPU 1513-1 PN</w:t>
            </w:r>
          </w:p>
        </w:tc>
        <w:tc>
          <w:tcPr>
            <w:tcW w:w="851" w:type="dxa"/>
            <w:tcBorders>
              <w:top w:val="single" w:sz="12" w:space="0" w:color="auto"/>
              <w:bottom w:val="single" w:sz="4" w:space="0" w:color="auto"/>
            </w:tcBorders>
            <w:shd w:val="clear" w:color="auto" w:fill="auto"/>
          </w:tcPr>
          <w:p>
            <w:pPr>
              <w:pStyle w:val="TabelleTextlinks"/>
            </w:pPr>
            <w:r>
              <w:t>1</w:t>
            </w:r>
          </w:p>
        </w:tc>
        <w:tc>
          <w:tcPr>
            <w:tcW w:w="2126" w:type="dxa"/>
            <w:tcBorders>
              <w:top w:val="single" w:sz="12" w:space="0" w:color="auto"/>
              <w:bottom w:val="single" w:sz="4" w:space="0" w:color="auto"/>
            </w:tcBorders>
            <w:shd w:val="clear" w:color="auto" w:fill="auto"/>
          </w:tcPr>
          <w:p>
            <w:pPr>
              <w:pStyle w:val="TabelleTextlinks"/>
            </w:pPr>
            <w:r>
              <w:t>6ES7513-1AL01-0AB0</w:t>
            </w:r>
          </w:p>
        </w:tc>
        <w:tc>
          <w:tcPr>
            <w:tcW w:w="2657" w:type="dxa"/>
            <w:tcBorders>
              <w:top w:val="single" w:sz="12" w:space="0" w:color="auto"/>
              <w:bottom w:val="single" w:sz="4" w:space="0" w:color="auto"/>
            </w:tcBorders>
            <w:shd w:val="clear" w:color="auto" w:fill="auto"/>
          </w:tcPr>
          <w:p>
            <w:pPr>
              <w:pStyle w:val="TabelleTextlinks"/>
            </w:pPr>
            <w:r>
              <w:t xml:space="preserve">Sie können auch eine andere CPU verwenden. </w:t>
            </w:r>
          </w:p>
        </w:tc>
      </w:tr>
      <w:tr>
        <w:tc>
          <w:tcPr>
            <w:tcW w:w="1838" w:type="dxa"/>
            <w:tcBorders>
              <w:top w:val="single" w:sz="4" w:space="0" w:color="auto"/>
            </w:tcBorders>
            <w:shd w:val="clear" w:color="auto" w:fill="auto"/>
          </w:tcPr>
          <w:p>
            <w:pPr>
              <w:pStyle w:val="TabelleTextlinks"/>
              <w:keepNext/>
            </w:pPr>
            <w:r>
              <w:t>CPU 317-2 PN/DP</w:t>
            </w:r>
          </w:p>
        </w:tc>
        <w:tc>
          <w:tcPr>
            <w:tcW w:w="851" w:type="dxa"/>
            <w:tcBorders>
              <w:top w:val="single" w:sz="4" w:space="0" w:color="auto"/>
            </w:tcBorders>
            <w:shd w:val="clear" w:color="auto" w:fill="auto"/>
          </w:tcPr>
          <w:p>
            <w:pPr>
              <w:pStyle w:val="TabelleTextlinks"/>
            </w:pPr>
            <w:r>
              <w:t>1</w:t>
            </w:r>
          </w:p>
        </w:tc>
        <w:tc>
          <w:tcPr>
            <w:tcW w:w="2126" w:type="dxa"/>
            <w:tcBorders>
              <w:top w:val="single" w:sz="4" w:space="0" w:color="auto"/>
            </w:tcBorders>
            <w:shd w:val="clear" w:color="auto" w:fill="auto"/>
          </w:tcPr>
          <w:p>
            <w:pPr>
              <w:pStyle w:val="TabelleTextlinks"/>
            </w:pPr>
            <w:r>
              <w:t>6ES7317-2EK14-0AB0</w:t>
            </w:r>
          </w:p>
        </w:tc>
        <w:tc>
          <w:tcPr>
            <w:tcW w:w="2657" w:type="dxa"/>
            <w:tcBorders>
              <w:top w:val="single" w:sz="4" w:space="0" w:color="auto"/>
            </w:tcBorders>
            <w:shd w:val="clear" w:color="auto" w:fill="auto"/>
          </w:tcPr>
          <w:p>
            <w:pPr>
              <w:pStyle w:val="TabelleTextlinks"/>
            </w:pPr>
            <w:r>
              <w:t>Sie können auch eine andere CPU verwenden.</w:t>
            </w:r>
          </w:p>
        </w:tc>
      </w:tr>
      <w:tr>
        <w:tc>
          <w:tcPr>
            <w:tcW w:w="1838" w:type="dxa"/>
            <w:shd w:val="clear" w:color="auto" w:fill="auto"/>
          </w:tcPr>
          <w:p>
            <w:pPr>
              <w:pStyle w:val="TabelleTextlinks"/>
            </w:pPr>
            <w:r>
              <w:t xml:space="preserve">TIA Portal V15 </w:t>
            </w:r>
          </w:p>
        </w:tc>
        <w:tc>
          <w:tcPr>
            <w:tcW w:w="851" w:type="dxa"/>
            <w:shd w:val="clear" w:color="auto" w:fill="auto"/>
          </w:tcPr>
          <w:p>
            <w:pPr>
              <w:pStyle w:val="TabelleTextlinks"/>
            </w:pPr>
            <w:r>
              <w:t>-</w:t>
            </w:r>
          </w:p>
        </w:tc>
        <w:tc>
          <w:tcPr>
            <w:tcW w:w="2126" w:type="dxa"/>
            <w:shd w:val="clear" w:color="auto" w:fill="auto"/>
          </w:tcPr>
          <w:p>
            <w:pPr>
              <w:pStyle w:val="TabelleTextlinks"/>
            </w:pPr>
            <w:r>
              <w:t>-</w:t>
            </w:r>
          </w:p>
        </w:tc>
        <w:tc>
          <w:tcPr>
            <w:tcW w:w="2657" w:type="dxa"/>
            <w:shd w:val="clear" w:color="auto" w:fill="auto"/>
          </w:tcPr>
          <w:p>
            <w:pPr>
              <w:pStyle w:val="TabelleTextlinks"/>
            </w:pPr>
          </w:p>
        </w:tc>
      </w:tr>
      <w:tr>
        <w:tc>
          <w:tcPr>
            <w:tcW w:w="1838" w:type="dxa"/>
            <w:shd w:val="clear" w:color="auto" w:fill="auto"/>
          </w:tcPr>
          <w:p>
            <w:pPr>
              <w:pStyle w:val="TabelleTextlinks"/>
            </w:pPr>
            <w:r>
              <w:t>MQTT-Broker</w:t>
            </w:r>
          </w:p>
        </w:tc>
        <w:tc>
          <w:tcPr>
            <w:tcW w:w="851" w:type="dxa"/>
            <w:shd w:val="clear" w:color="auto" w:fill="auto"/>
          </w:tcPr>
          <w:p>
            <w:pPr>
              <w:pStyle w:val="TabelleTextlinks"/>
            </w:pPr>
            <w:r>
              <w:t>-</w:t>
            </w:r>
          </w:p>
        </w:tc>
        <w:tc>
          <w:tcPr>
            <w:tcW w:w="2126" w:type="dxa"/>
            <w:shd w:val="clear" w:color="auto" w:fill="auto"/>
          </w:tcPr>
          <w:p>
            <w:pPr>
              <w:pStyle w:val="TabelleTextlinks"/>
            </w:pPr>
            <w:r>
              <w:t>-</w:t>
            </w:r>
          </w:p>
        </w:tc>
        <w:tc>
          <w:tcPr>
            <w:tcW w:w="2657" w:type="dxa"/>
            <w:shd w:val="clear" w:color="auto" w:fill="auto"/>
          </w:tcPr>
          <w:p>
            <w:pPr>
              <w:pStyle w:val="TabelleTextlinks"/>
            </w:pPr>
          </w:p>
        </w:tc>
      </w:tr>
    </w:tbl>
    <w:p>
      <w:pPr>
        <w:pStyle w:val="Blocktext"/>
      </w:pPr>
    </w:p>
    <w:p>
      <w:pPr>
        <w:pStyle w:val="Blocktext"/>
        <w:rPr>
          <w:lang w:eastAsia="ja-JP"/>
        </w:rPr>
      </w:pPr>
      <w:r>
        <w:rPr>
          <w:lang w:eastAsia="ja-JP"/>
        </w:rPr>
        <w:t xml:space="preserve">Dieses Anwendungsbeispiel besteht aus folgenden Komponenten: </w:t>
      </w:r>
    </w:p>
    <w:p>
      <w:pPr>
        <w:pStyle w:val="TabellenBeschriftungTextBreite"/>
      </w:pPr>
      <w:r>
        <w:t xml:space="preserve">Tabelle </w:t>
      </w:r>
      <w:fldSimple w:instr=" STYLEREF 1 \s  \* MERGEFORMAT ">
        <w:r>
          <w:rPr>
            <w:noProof/>
          </w:rPr>
          <w:t>1</w:t>
        </w:r>
      </w:fldSimple>
      <w:r>
        <w:t>-</w:t>
      </w:r>
      <w:fldSimple w:instr=" SEQ Tabelle \* Arabic \s 1  \* MERGEFORMAT ">
        <w:r>
          <w:rPr>
            <w:noProof/>
          </w:rPr>
          <w:t>3</w:t>
        </w:r>
      </w:fldSimple>
    </w:p>
    <w:tbl>
      <w:tblPr>
        <w:tblStyle w:val="Tabellenraster"/>
        <w:tblW w:w="7508" w:type="dxa"/>
        <w:tblInd w:w="1247" w:type="dxa"/>
        <w:tblLook w:val="04A0" w:firstRow="1" w:lastRow="0" w:firstColumn="1" w:lastColumn="0" w:noHBand="0" w:noVBand="1"/>
      </w:tblPr>
      <w:tblGrid>
        <w:gridCol w:w="2028"/>
        <w:gridCol w:w="5480"/>
      </w:tblGrid>
      <w:tr>
        <w:trPr>
          <w:tblHeader/>
        </w:trPr>
        <w:tc>
          <w:tcPr>
            <w:tcW w:w="2298" w:type="dxa"/>
            <w:tcBorders>
              <w:bottom w:val="single" w:sz="12" w:space="0" w:color="auto"/>
            </w:tcBorders>
            <w:shd w:val="clear" w:color="auto" w:fill="E6E6E6"/>
          </w:tcPr>
          <w:p>
            <w:pPr>
              <w:pStyle w:val="TabelleKopfzentriert"/>
            </w:pPr>
            <w:r>
              <w:t>Komponente</w:t>
            </w:r>
          </w:p>
        </w:tc>
        <w:tc>
          <w:tcPr>
            <w:tcW w:w="5210" w:type="dxa"/>
            <w:tcBorders>
              <w:bottom w:val="single" w:sz="12" w:space="0" w:color="auto"/>
            </w:tcBorders>
            <w:shd w:val="clear" w:color="auto" w:fill="E6E6E6"/>
          </w:tcPr>
          <w:p>
            <w:pPr>
              <w:pStyle w:val="TabelleKopfzentriert"/>
            </w:pPr>
            <w:r>
              <w:t>Dateiname</w:t>
            </w:r>
          </w:p>
        </w:tc>
      </w:tr>
      <w:tr>
        <w:tc>
          <w:tcPr>
            <w:tcW w:w="2298" w:type="dxa"/>
            <w:tcBorders>
              <w:top w:val="single" w:sz="12" w:space="0" w:color="auto"/>
              <w:bottom w:val="single" w:sz="4" w:space="0" w:color="auto"/>
            </w:tcBorders>
            <w:shd w:val="clear" w:color="auto" w:fill="auto"/>
          </w:tcPr>
          <w:p>
            <w:pPr>
              <w:pStyle w:val="TabelleTextlinks"/>
              <w:keepNext/>
              <w:rPr>
                <w:lang w:val="en-US"/>
              </w:rPr>
            </w:pPr>
            <w:r>
              <w:rPr>
                <w:lang w:val="en-US"/>
              </w:rPr>
              <w:t>Bibliothek "LMqtt" und "LMqttQdn" für SIMATIC S7-1500.</w:t>
            </w:r>
          </w:p>
        </w:tc>
        <w:tc>
          <w:tcPr>
            <w:tcW w:w="5210" w:type="dxa"/>
            <w:tcBorders>
              <w:top w:val="single" w:sz="12" w:space="0" w:color="auto"/>
              <w:bottom w:val="single" w:sz="4" w:space="0" w:color="auto"/>
            </w:tcBorders>
            <w:shd w:val="clear" w:color="auto" w:fill="auto"/>
          </w:tcPr>
          <w:p>
            <w:pPr>
              <w:pStyle w:val="TabelleTextlinks"/>
              <w:rPr>
                <w:lang w:val="en-US"/>
              </w:rPr>
            </w:pPr>
            <w:r>
              <w:rPr>
                <w:lang w:val="en-US"/>
              </w:rPr>
              <w:t>109748872_MqttClient_Publish_Unsecure_S71500_LIB_V1_1.zip</w:t>
            </w:r>
          </w:p>
        </w:tc>
      </w:tr>
      <w:tr>
        <w:tc>
          <w:tcPr>
            <w:tcW w:w="2298" w:type="dxa"/>
            <w:tcBorders>
              <w:top w:val="single" w:sz="4" w:space="0" w:color="auto"/>
            </w:tcBorders>
            <w:shd w:val="clear" w:color="auto" w:fill="auto"/>
          </w:tcPr>
          <w:p>
            <w:pPr>
              <w:pStyle w:val="TabelleTextlinks"/>
              <w:keepNext/>
              <w:rPr>
                <w:lang w:val="en-US"/>
              </w:rPr>
            </w:pPr>
            <w:r>
              <w:rPr>
                <w:lang w:val="en-US"/>
              </w:rPr>
              <w:t>Bibliothek "LMqtt" für SIMATIC S7-300.</w:t>
            </w:r>
          </w:p>
        </w:tc>
        <w:tc>
          <w:tcPr>
            <w:tcW w:w="5210" w:type="dxa"/>
            <w:tcBorders>
              <w:top w:val="single" w:sz="4" w:space="0" w:color="auto"/>
            </w:tcBorders>
            <w:shd w:val="clear" w:color="auto" w:fill="auto"/>
          </w:tcPr>
          <w:p>
            <w:pPr>
              <w:pStyle w:val="TabelleTextlinks"/>
              <w:rPr>
                <w:lang w:val="en-US"/>
              </w:rPr>
            </w:pPr>
            <w:r>
              <w:rPr>
                <w:lang w:val="en-US"/>
              </w:rPr>
              <w:t>109748872_MqttClient_Publish_Unsecure_S7300_LIB_V1_1.zip</w:t>
            </w:r>
          </w:p>
        </w:tc>
      </w:tr>
      <w:tr>
        <w:tc>
          <w:tcPr>
            <w:tcW w:w="2298" w:type="dxa"/>
            <w:shd w:val="clear" w:color="auto" w:fill="auto"/>
          </w:tcPr>
          <w:p>
            <w:pPr>
              <w:pStyle w:val="TabelleTextlinks"/>
            </w:pPr>
            <w:r>
              <w:t>Dieses Dokument</w:t>
            </w:r>
          </w:p>
        </w:tc>
        <w:tc>
          <w:tcPr>
            <w:tcW w:w="5210" w:type="dxa"/>
            <w:shd w:val="clear" w:color="auto" w:fill="auto"/>
          </w:tcPr>
          <w:p>
            <w:pPr>
              <w:pStyle w:val="TabelleTextlinks"/>
              <w:rPr>
                <w:lang w:val="en-US"/>
              </w:rPr>
            </w:pPr>
            <w:r>
              <w:rPr>
                <w:lang w:val="en-US"/>
              </w:rPr>
              <w:t>109748872_MqttClient_Publish_Unsecure_DOKU_V1_1_de.pdf</w:t>
            </w:r>
          </w:p>
        </w:tc>
      </w:tr>
    </w:tbl>
    <w:p>
      <w:pPr>
        <w:pStyle w:val="Blocktext"/>
        <w:rPr>
          <w:lang w:val="en-US" w:eastAsia="ja-JP"/>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Um  den Broker über eine statische IP-Adresse zu erreichen, verwenden Sie die Bibliothek "LMqtt".</w:t>
            </w:r>
          </w:p>
          <w:p>
            <w:pPr>
              <w:pStyle w:val="Hinweis"/>
            </w:pPr>
            <w:r>
              <w:t>Um den Broker über einen Domänennamen ("Qualified Domain Name", kurz: QDN) zu erreichen, verwenden Sie die Bibliothek "LMqttQdn".</w:t>
            </w:r>
          </w:p>
        </w:tc>
      </w:tr>
    </w:tbl>
    <w:p>
      <w:pPr>
        <w:pStyle w:val="Blocktext"/>
      </w:pPr>
    </w:p>
    <w:p>
      <w:pPr>
        <w:pStyle w:val="Blocktext"/>
        <w:rPr>
          <w:lang w:eastAsia="ja-JP"/>
        </w:rPr>
      </w:pPr>
    </w:p>
    <w:p>
      <w:pPr>
        <w:pStyle w:val="berschrift1"/>
      </w:pPr>
      <w:bookmarkStart w:id="14" w:name="_Toc473820195"/>
      <w:bookmarkStart w:id="15" w:name="_Toc520107689"/>
      <w:r>
        <w:lastRenderedPageBreak/>
        <w:t>Engineering</w:t>
      </w:r>
      <w:bookmarkEnd w:id="14"/>
      <w:bookmarkEnd w:id="15"/>
    </w:p>
    <w:p>
      <w:pPr>
        <w:pStyle w:val="Blocktext"/>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 xml:space="preserve">Das Engineering in diesem Kapitel fokussiert die MQTT-Client-Funktion, die dieses Anwendungsbeispiel realisiert. </w:t>
            </w:r>
            <w:r>
              <w:br/>
              <w:t>Es wird vorausgesetzt, dass Sie den MQTT-Broker bereits installiert und konfiguriert haben.</w:t>
            </w:r>
          </w:p>
        </w:tc>
      </w:tr>
    </w:tbl>
    <w:p>
      <w:pPr>
        <w:pStyle w:val="berschrift2"/>
      </w:pPr>
      <w:bookmarkStart w:id="16" w:name="_Toc473820196"/>
      <w:bookmarkStart w:id="17" w:name="_Toc520107690"/>
      <w:r>
        <w:t>Bausteinbeschreibung</w:t>
      </w:r>
      <w:bookmarkEnd w:id="16"/>
      <w:bookmarkEnd w:id="17"/>
    </w:p>
    <w:p>
      <w:pPr>
        <w:pStyle w:val="berschrift3"/>
      </w:pPr>
      <w:bookmarkStart w:id="18" w:name="_Toc520107691"/>
      <w:r>
        <w:t>Schnittstellenbeschreibung "LMqtt_Publisher"</w:t>
      </w:r>
      <w:bookmarkEnd w:id="18"/>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Der Funktionsbausteins "LMqtt_Publisher" ist in allen Bibliotheken vorhanden und identisch.</w:t>
            </w:r>
            <w:r>
              <w:br/>
              <w:t>Bei der S7-1500 ist der Funktionsbaustein für einen "Optimierten Bausteinzugriff" konzipiert.</w:t>
            </w:r>
          </w:p>
        </w:tc>
      </w:tr>
    </w:tbl>
    <w:p>
      <w:pPr>
        <w:pStyle w:val="Blocktext"/>
        <w:rPr>
          <w:lang w:eastAsia="ja-JP"/>
        </w:rPr>
      </w:pPr>
      <w:r>
        <w:rPr>
          <w:lang w:eastAsia="ja-JP"/>
        </w:rPr>
        <w:t>Im Folgenden werden die Ein- und Ausgangsparameter des Funktionsbausteins "LMqtt_Publisher" erläutert.</w:t>
      </w:r>
    </w:p>
    <w:p>
      <w:pPr>
        <w:pStyle w:val="Blocktitel"/>
      </w:pPr>
      <w:r>
        <w:t>Eingangsparameter</w:t>
      </w:r>
    </w:p>
    <w:p>
      <w:pPr>
        <w:pStyle w:val="TabellenBeschriftungTextBreite"/>
      </w:pPr>
      <w:r>
        <w:t>Tabelle </w:t>
      </w:r>
      <w:fldSimple w:instr=" STYLEREF 1 \s  \* MERGEFORMAT ">
        <w:r>
          <w:rPr>
            <w:noProof/>
          </w:rPr>
          <w:t>2</w:t>
        </w:r>
      </w:fldSimple>
      <w:r>
        <w:t>-</w:t>
      </w:r>
      <w:fldSimple w:instr=" SEQ Tabelle \* Arabic \s 1  \* MERGEFORMAT ">
        <w:r>
          <w:rPr>
            <w:noProof/>
          </w:rPr>
          <w:t>1</w:t>
        </w:r>
      </w:fldSimple>
    </w:p>
    <w:tbl>
      <w:tblPr>
        <w:tblStyle w:val="Tabellenraster"/>
        <w:tblW w:w="0" w:type="auto"/>
        <w:tblInd w:w="1247" w:type="dxa"/>
        <w:tblLook w:val="04A0" w:firstRow="1" w:lastRow="0" w:firstColumn="1" w:lastColumn="0" w:noHBand="0" w:noVBand="1"/>
      </w:tblPr>
      <w:tblGrid>
        <w:gridCol w:w="1464"/>
        <w:gridCol w:w="1945"/>
        <w:gridCol w:w="4065"/>
      </w:tblGrid>
      <w:tr>
        <w:trPr>
          <w:tblHeader/>
        </w:trPr>
        <w:tc>
          <w:tcPr>
            <w:tcW w:w="1464" w:type="dxa"/>
            <w:tcBorders>
              <w:bottom w:val="single" w:sz="12" w:space="0" w:color="auto"/>
            </w:tcBorders>
            <w:shd w:val="clear" w:color="auto" w:fill="E6E6E6"/>
          </w:tcPr>
          <w:p>
            <w:pPr>
              <w:pStyle w:val="TabelleKopfzentriert"/>
            </w:pPr>
            <w:r>
              <w:t>Parameter</w:t>
            </w:r>
          </w:p>
        </w:tc>
        <w:tc>
          <w:tcPr>
            <w:tcW w:w="1464" w:type="dxa"/>
            <w:tcBorders>
              <w:bottom w:val="single" w:sz="12" w:space="0" w:color="auto"/>
            </w:tcBorders>
            <w:shd w:val="clear" w:color="auto" w:fill="E6E6E6"/>
          </w:tcPr>
          <w:p>
            <w:pPr>
              <w:pStyle w:val="TabelleKopfzentriert"/>
            </w:pPr>
            <w:r>
              <w:t>Datentyp</w:t>
            </w:r>
          </w:p>
        </w:tc>
        <w:tc>
          <w:tcPr>
            <w:tcW w:w="4078" w:type="dxa"/>
            <w:tcBorders>
              <w:bottom w:val="single" w:sz="12" w:space="0" w:color="auto"/>
            </w:tcBorders>
            <w:shd w:val="clear" w:color="auto" w:fill="E6E6E6"/>
          </w:tcPr>
          <w:p>
            <w:pPr>
              <w:pStyle w:val="TabelleKopfzentriert"/>
            </w:pPr>
            <w:r>
              <w:t>Funktion</w:t>
            </w:r>
          </w:p>
        </w:tc>
      </w:tr>
      <w:tr>
        <w:tc>
          <w:tcPr>
            <w:tcW w:w="1464" w:type="dxa"/>
            <w:tcBorders>
              <w:top w:val="single" w:sz="12" w:space="0" w:color="auto"/>
            </w:tcBorders>
          </w:tcPr>
          <w:p>
            <w:pPr>
              <w:pStyle w:val="TabelleTextlinks"/>
              <w:keepNext/>
            </w:pPr>
            <w:r>
              <w:t>enable</w:t>
            </w:r>
          </w:p>
        </w:tc>
        <w:tc>
          <w:tcPr>
            <w:tcW w:w="1464" w:type="dxa"/>
            <w:tcBorders>
              <w:top w:val="single" w:sz="12" w:space="0" w:color="auto"/>
            </w:tcBorders>
          </w:tcPr>
          <w:p>
            <w:pPr>
              <w:pStyle w:val="TabelleTextlinks"/>
              <w:keepNext/>
            </w:pPr>
            <w:r>
              <w:t>BOOL</w:t>
            </w:r>
          </w:p>
        </w:tc>
        <w:tc>
          <w:tcPr>
            <w:tcW w:w="4078" w:type="dxa"/>
            <w:tcBorders>
              <w:top w:val="single" w:sz="12" w:space="0" w:color="auto"/>
            </w:tcBorders>
            <w:shd w:val="clear" w:color="auto" w:fill="auto"/>
          </w:tcPr>
          <w:p>
            <w:pPr>
              <w:pStyle w:val="TabelleTextlinks"/>
            </w:pPr>
            <w:r>
              <w:t xml:space="preserve">Mit einer positiven Flanke wird der </w:t>
            </w:r>
            <w:r>
              <w:rPr>
                <w:lang w:eastAsia="ja-JP"/>
              </w:rPr>
              <w:t>Funktionsbaustein</w:t>
            </w:r>
            <w:r>
              <w:t xml:space="preserve"> aktiviert. Der </w:t>
            </w:r>
            <w:r>
              <w:rPr>
                <w:lang w:eastAsia="ja-JP"/>
              </w:rPr>
              <w:t>Funktionsbaustein</w:t>
            </w:r>
            <w:r>
              <w:t xml:space="preserve"> ist aktiv, solange "enable" den Zustand "true" hat.</w:t>
            </w:r>
          </w:p>
          <w:p>
            <w:pPr>
              <w:pStyle w:val="TabelleTextlinks"/>
            </w:pPr>
            <w:r>
              <w:t xml:space="preserve">Über eine negative Flanke wird der </w:t>
            </w:r>
            <w:r>
              <w:rPr>
                <w:lang w:eastAsia="ja-JP"/>
              </w:rPr>
              <w:t>Funktionsbaustein</w:t>
            </w:r>
            <w:r>
              <w:t xml:space="preserve"> beendet und die TCP- und MQTT-Verbindung abgebaut.</w:t>
            </w:r>
          </w:p>
        </w:tc>
      </w:tr>
      <w:tr>
        <w:tc>
          <w:tcPr>
            <w:tcW w:w="1464" w:type="dxa"/>
          </w:tcPr>
          <w:p>
            <w:pPr>
              <w:pStyle w:val="TabelleTextlinks"/>
            </w:pPr>
            <w:r>
              <w:t>publish</w:t>
            </w:r>
          </w:p>
        </w:tc>
        <w:tc>
          <w:tcPr>
            <w:tcW w:w="1464" w:type="dxa"/>
          </w:tcPr>
          <w:p>
            <w:pPr>
              <w:pStyle w:val="TabelleTextlinks"/>
            </w:pPr>
            <w:r>
              <w:t>BOOL</w:t>
            </w:r>
          </w:p>
        </w:tc>
        <w:tc>
          <w:tcPr>
            <w:tcW w:w="4078" w:type="dxa"/>
            <w:shd w:val="clear" w:color="auto" w:fill="auto"/>
          </w:tcPr>
          <w:p>
            <w:pPr>
              <w:pStyle w:val="TabelleTextlinks"/>
            </w:pPr>
            <w:r>
              <w:t>Mit einer positiven Flanke wird eine Nachricht an den Broker geschickt</w:t>
            </w:r>
          </w:p>
        </w:tc>
      </w:tr>
      <w:tr>
        <w:tc>
          <w:tcPr>
            <w:tcW w:w="1464" w:type="dxa"/>
          </w:tcPr>
          <w:p>
            <w:pPr>
              <w:pStyle w:val="TabelleTextlinks"/>
            </w:pPr>
            <w:r>
              <w:t>tcpConnParam</w:t>
            </w:r>
          </w:p>
        </w:tc>
        <w:tc>
          <w:tcPr>
            <w:tcW w:w="1464" w:type="dxa"/>
          </w:tcPr>
          <w:p>
            <w:pPr>
              <w:pStyle w:val="TabelleTextlinks"/>
            </w:pPr>
            <w:r>
              <w:t>"typeTcpConnParam"</w:t>
            </w:r>
          </w:p>
        </w:tc>
        <w:tc>
          <w:tcPr>
            <w:tcW w:w="4078" w:type="dxa"/>
            <w:shd w:val="clear" w:color="auto" w:fill="auto"/>
          </w:tcPr>
          <w:p>
            <w:pPr>
              <w:pStyle w:val="TabelleTextlinks"/>
            </w:pPr>
            <w:r>
              <w:t>Datenbereich der TCP-Verbindungsinformationen</w:t>
            </w:r>
          </w:p>
        </w:tc>
      </w:tr>
      <w:tr>
        <w:tc>
          <w:tcPr>
            <w:tcW w:w="1464" w:type="dxa"/>
          </w:tcPr>
          <w:p>
            <w:pPr>
              <w:pStyle w:val="TabelleTextlinks"/>
            </w:pPr>
            <w:r>
              <w:t>mqttParam</w:t>
            </w:r>
          </w:p>
        </w:tc>
        <w:tc>
          <w:tcPr>
            <w:tcW w:w="1464" w:type="dxa"/>
          </w:tcPr>
          <w:p>
            <w:pPr>
              <w:pStyle w:val="TabelleTextlinks"/>
            </w:pPr>
            <w:r>
              <w:t>"typeMqttParam"</w:t>
            </w:r>
          </w:p>
        </w:tc>
        <w:tc>
          <w:tcPr>
            <w:tcW w:w="4078" w:type="dxa"/>
            <w:shd w:val="clear" w:color="auto" w:fill="auto"/>
          </w:tcPr>
          <w:p>
            <w:pPr>
              <w:pStyle w:val="TabelleTextlinks"/>
            </w:pPr>
            <w:r>
              <w:t>Datenbereich der MQTT-Verbindungs- und Nachrichteninformationen</w:t>
            </w:r>
          </w:p>
        </w:tc>
      </w:tr>
    </w:tbl>
    <w:p>
      <w:pPr>
        <w:pStyle w:val="Blocktitel"/>
      </w:pPr>
      <w:r>
        <w:t>Ausgangsparameter</w:t>
      </w:r>
    </w:p>
    <w:p>
      <w:pPr>
        <w:pStyle w:val="TabellenBeschriftungTextBreite"/>
      </w:pPr>
      <w:r>
        <w:t>Tabelle </w:t>
      </w:r>
      <w:fldSimple w:instr=" STYLEREF 1 \s  \* MERGEFORMAT ">
        <w:r>
          <w:rPr>
            <w:noProof/>
          </w:rPr>
          <w:t>2</w:t>
        </w:r>
      </w:fldSimple>
      <w:r>
        <w:t>-</w:t>
      </w:r>
      <w:fldSimple w:instr=" SEQ Tabelle \* Arabic \s 1  \* MERGEFORMAT ">
        <w:r>
          <w:rPr>
            <w:noProof/>
          </w:rPr>
          <w:t>2</w:t>
        </w:r>
      </w:fldSimple>
    </w:p>
    <w:tbl>
      <w:tblPr>
        <w:tblStyle w:val="Tabellenraster"/>
        <w:tblW w:w="0" w:type="auto"/>
        <w:tblInd w:w="1247" w:type="dxa"/>
        <w:tblLook w:val="04A0" w:firstRow="1" w:lastRow="0" w:firstColumn="1" w:lastColumn="0" w:noHBand="0" w:noVBand="1"/>
      </w:tblPr>
      <w:tblGrid>
        <w:gridCol w:w="1437"/>
        <w:gridCol w:w="1960"/>
        <w:gridCol w:w="4077"/>
      </w:tblGrid>
      <w:tr>
        <w:trPr>
          <w:tblHeader/>
        </w:trPr>
        <w:tc>
          <w:tcPr>
            <w:tcW w:w="1437" w:type="dxa"/>
            <w:tcBorders>
              <w:bottom w:val="single" w:sz="12" w:space="0" w:color="auto"/>
            </w:tcBorders>
            <w:shd w:val="clear" w:color="auto" w:fill="E6E6E6"/>
          </w:tcPr>
          <w:p>
            <w:pPr>
              <w:pStyle w:val="TabelleKopfzentriert"/>
            </w:pPr>
            <w:r>
              <w:t>Parameter</w:t>
            </w:r>
          </w:p>
        </w:tc>
        <w:tc>
          <w:tcPr>
            <w:tcW w:w="1960" w:type="dxa"/>
            <w:tcBorders>
              <w:bottom w:val="single" w:sz="12" w:space="0" w:color="auto"/>
            </w:tcBorders>
            <w:shd w:val="clear" w:color="auto" w:fill="E6E6E6"/>
          </w:tcPr>
          <w:p>
            <w:pPr>
              <w:pStyle w:val="TabelleKopfzentriert"/>
            </w:pPr>
            <w:r>
              <w:t>Datentyp</w:t>
            </w:r>
          </w:p>
        </w:tc>
        <w:tc>
          <w:tcPr>
            <w:tcW w:w="4077" w:type="dxa"/>
            <w:tcBorders>
              <w:bottom w:val="single" w:sz="12" w:space="0" w:color="auto"/>
            </w:tcBorders>
            <w:shd w:val="clear" w:color="auto" w:fill="E6E6E6"/>
          </w:tcPr>
          <w:p>
            <w:pPr>
              <w:pStyle w:val="TabelleKopfzentriert"/>
            </w:pPr>
            <w:r>
              <w:t>Funktion</w:t>
            </w:r>
          </w:p>
        </w:tc>
      </w:tr>
      <w:tr>
        <w:tc>
          <w:tcPr>
            <w:tcW w:w="1437" w:type="dxa"/>
            <w:tcBorders>
              <w:top w:val="single" w:sz="12" w:space="0" w:color="auto"/>
            </w:tcBorders>
            <w:shd w:val="clear" w:color="auto" w:fill="auto"/>
          </w:tcPr>
          <w:p>
            <w:pPr>
              <w:pStyle w:val="TabelleTextlinks"/>
              <w:keepNext/>
            </w:pPr>
            <w:r>
              <w:t>tcpConnected</w:t>
            </w:r>
          </w:p>
        </w:tc>
        <w:tc>
          <w:tcPr>
            <w:tcW w:w="1960" w:type="dxa"/>
            <w:tcBorders>
              <w:top w:val="single" w:sz="12" w:space="0" w:color="auto"/>
            </w:tcBorders>
          </w:tcPr>
          <w:p>
            <w:pPr>
              <w:pStyle w:val="TabelleTextlinks"/>
            </w:pPr>
            <w:r>
              <w:t>BOOL</w:t>
            </w:r>
          </w:p>
        </w:tc>
        <w:tc>
          <w:tcPr>
            <w:tcW w:w="4077" w:type="dxa"/>
            <w:tcBorders>
              <w:top w:val="single" w:sz="12" w:space="0" w:color="auto"/>
            </w:tcBorders>
            <w:shd w:val="clear" w:color="auto" w:fill="auto"/>
          </w:tcPr>
          <w:p>
            <w:pPr>
              <w:pStyle w:val="TabelleTextlinks"/>
            </w:pPr>
            <w:r>
              <w:t>True, wenn die TCP-Verbindung aufgebaut wurde</w:t>
            </w:r>
          </w:p>
        </w:tc>
      </w:tr>
      <w:tr>
        <w:tc>
          <w:tcPr>
            <w:tcW w:w="1437" w:type="dxa"/>
            <w:shd w:val="clear" w:color="auto" w:fill="auto"/>
          </w:tcPr>
          <w:p>
            <w:pPr>
              <w:pStyle w:val="TabelleTextlinks"/>
            </w:pPr>
            <w:r>
              <w:t>mqttConnected</w:t>
            </w:r>
          </w:p>
        </w:tc>
        <w:tc>
          <w:tcPr>
            <w:tcW w:w="1960" w:type="dxa"/>
          </w:tcPr>
          <w:p>
            <w:pPr>
              <w:pStyle w:val="TabelleTextlinks"/>
            </w:pPr>
            <w:r>
              <w:t>BOOL</w:t>
            </w:r>
          </w:p>
        </w:tc>
        <w:tc>
          <w:tcPr>
            <w:tcW w:w="4077" w:type="dxa"/>
            <w:shd w:val="clear" w:color="auto" w:fill="auto"/>
          </w:tcPr>
          <w:p>
            <w:pPr>
              <w:pStyle w:val="TabelleTextlinks"/>
            </w:pPr>
            <w:r>
              <w:t>True, wenn die MQTT-Verbindung aufgebaut wurde</w:t>
            </w:r>
          </w:p>
        </w:tc>
      </w:tr>
      <w:tr>
        <w:tc>
          <w:tcPr>
            <w:tcW w:w="1437" w:type="dxa"/>
            <w:shd w:val="clear" w:color="auto" w:fill="auto"/>
          </w:tcPr>
          <w:p>
            <w:pPr>
              <w:pStyle w:val="TabelleTextlinks"/>
            </w:pPr>
            <w:r>
              <w:t>published</w:t>
            </w:r>
          </w:p>
        </w:tc>
        <w:tc>
          <w:tcPr>
            <w:tcW w:w="1960" w:type="dxa"/>
          </w:tcPr>
          <w:p>
            <w:pPr>
              <w:pStyle w:val="TabelleTextlinks"/>
            </w:pPr>
            <w:r>
              <w:t>BOOL</w:t>
            </w:r>
          </w:p>
        </w:tc>
        <w:tc>
          <w:tcPr>
            <w:tcW w:w="4077" w:type="dxa"/>
            <w:shd w:val="clear" w:color="auto" w:fill="auto"/>
          </w:tcPr>
          <w:p>
            <w:pPr>
              <w:pStyle w:val="TabelleTextlinks"/>
            </w:pPr>
            <w:r>
              <w:t>True, wenn die Nachricht erfolgreich am Broker angekommen ist. Er ist nur ein Zyklus auf "true".</w:t>
            </w:r>
          </w:p>
        </w:tc>
      </w:tr>
      <w:tr>
        <w:tc>
          <w:tcPr>
            <w:tcW w:w="1437" w:type="dxa"/>
            <w:shd w:val="clear" w:color="auto" w:fill="auto"/>
          </w:tcPr>
          <w:p>
            <w:pPr>
              <w:pStyle w:val="TabelleTextlinks"/>
            </w:pPr>
            <w:r>
              <w:t>busy</w:t>
            </w:r>
          </w:p>
        </w:tc>
        <w:tc>
          <w:tcPr>
            <w:tcW w:w="1960" w:type="dxa"/>
          </w:tcPr>
          <w:p>
            <w:pPr>
              <w:pStyle w:val="TabelleTextlinks"/>
            </w:pPr>
            <w:r>
              <w:t>BOOL</w:t>
            </w:r>
          </w:p>
        </w:tc>
        <w:tc>
          <w:tcPr>
            <w:tcW w:w="4077" w:type="dxa"/>
            <w:shd w:val="clear" w:color="auto" w:fill="auto"/>
          </w:tcPr>
          <w:p>
            <w:pPr>
              <w:pStyle w:val="TabelleTextlinks"/>
            </w:pPr>
            <w:r>
              <w:t>True, während eine Nachricht oder ein PING an den Broker geschickt wird</w:t>
            </w:r>
          </w:p>
        </w:tc>
      </w:tr>
      <w:tr>
        <w:tc>
          <w:tcPr>
            <w:tcW w:w="1437" w:type="dxa"/>
            <w:shd w:val="clear" w:color="auto" w:fill="auto"/>
          </w:tcPr>
          <w:p>
            <w:pPr>
              <w:pStyle w:val="TabelleTextlinks"/>
            </w:pPr>
            <w:r>
              <w:t>error</w:t>
            </w:r>
          </w:p>
        </w:tc>
        <w:tc>
          <w:tcPr>
            <w:tcW w:w="1960" w:type="dxa"/>
          </w:tcPr>
          <w:p>
            <w:pPr>
              <w:pStyle w:val="TabelleTextlinks"/>
            </w:pPr>
            <w:r>
              <w:t>BOOL</w:t>
            </w:r>
          </w:p>
        </w:tc>
        <w:tc>
          <w:tcPr>
            <w:tcW w:w="4077" w:type="dxa"/>
            <w:shd w:val="clear" w:color="auto" w:fill="auto"/>
          </w:tcPr>
          <w:p>
            <w:pPr>
              <w:pStyle w:val="TabelleTextlinks"/>
            </w:pPr>
            <w:r>
              <w:t>True, wenn ein Fehler anliegt</w:t>
            </w:r>
          </w:p>
        </w:tc>
      </w:tr>
      <w:tr>
        <w:tc>
          <w:tcPr>
            <w:tcW w:w="1437" w:type="dxa"/>
            <w:shd w:val="clear" w:color="auto" w:fill="auto"/>
          </w:tcPr>
          <w:p>
            <w:pPr>
              <w:pStyle w:val="TabelleTextlinks"/>
            </w:pPr>
            <w:r>
              <w:t>statusID</w:t>
            </w:r>
          </w:p>
        </w:tc>
        <w:tc>
          <w:tcPr>
            <w:tcW w:w="1960" w:type="dxa"/>
          </w:tcPr>
          <w:p>
            <w:pPr>
              <w:pStyle w:val="TabelleTextlinks"/>
            </w:pPr>
            <w:r>
              <w:t>INT</w:t>
            </w:r>
          </w:p>
        </w:tc>
        <w:tc>
          <w:tcPr>
            <w:tcW w:w="4077" w:type="dxa"/>
            <w:shd w:val="clear" w:color="auto" w:fill="auto"/>
          </w:tcPr>
          <w:p>
            <w:pPr>
              <w:pStyle w:val="TabelleTextlinks"/>
            </w:pPr>
            <w:r>
              <w:t>Zustand, der den Fehler ausgelöst hat</w:t>
            </w:r>
          </w:p>
        </w:tc>
      </w:tr>
      <w:tr>
        <w:tc>
          <w:tcPr>
            <w:tcW w:w="1437" w:type="dxa"/>
            <w:shd w:val="clear" w:color="auto" w:fill="auto"/>
          </w:tcPr>
          <w:p>
            <w:pPr>
              <w:pStyle w:val="TabelleTextlinks"/>
            </w:pPr>
            <w:r>
              <w:t>status</w:t>
            </w:r>
          </w:p>
        </w:tc>
        <w:tc>
          <w:tcPr>
            <w:tcW w:w="1960" w:type="dxa"/>
          </w:tcPr>
          <w:p>
            <w:pPr>
              <w:pStyle w:val="TabelleTextlinks"/>
            </w:pPr>
            <w:r>
              <w:t>DWORD</w:t>
            </w:r>
          </w:p>
        </w:tc>
        <w:tc>
          <w:tcPr>
            <w:tcW w:w="4077" w:type="dxa"/>
            <w:shd w:val="clear" w:color="auto" w:fill="auto"/>
          </w:tcPr>
          <w:p>
            <w:pPr>
              <w:pStyle w:val="TabelleTextlinks"/>
            </w:pPr>
            <w:r>
              <w:t>Fehlermeldung</w:t>
            </w:r>
          </w:p>
        </w:tc>
      </w:tr>
    </w:tbl>
    <w:p>
      <w:pPr>
        <w:pStyle w:val="berschrift3"/>
        <w:pageBreakBefore/>
      </w:pPr>
      <w:bookmarkStart w:id="19" w:name="_Ref486578660"/>
      <w:bookmarkStart w:id="20" w:name="_Toc520107692"/>
      <w:r>
        <w:lastRenderedPageBreak/>
        <w:t>Datenbaustein "LMqtt_Data"</w:t>
      </w:r>
      <w:bookmarkEnd w:id="19"/>
      <w:bookmarkEnd w:id="20"/>
    </w:p>
    <w:p>
      <w:pPr>
        <w:pStyle w:val="Blocktext"/>
      </w:pPr>
      <w:r>
        <w:t>In der folgenden Abbildung sehen Sie die Deklaration des Datenbausteins für die SIMATIC S7-1500/ SIMATIC S7-1200:</w:t>
      </w: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Der Datenbaustein ist für einen "Optimierten Bausteinzugriff" konzipiert.</w:t>
            </w:r>
          </w:p>
        </w:tc>
      </w:tr>
    </w:tbl>
    <w:p>
      <w:pPr>
        <w:pStyle w:val="BildBeschriftungtextBreite"/>
      </w:pPr>
    </w:p>
    <w:p>
      <w:pPr>
        <w:pStyle w:val="BildBeschriftungtextBreite"/>
      </w:pPr>
      <w:r>
        <w:t>Abbildung </w:t>
      </w:r>
      <w:fldSimple w:instr=" STYLEREF 1 \s  \* MERGEFORMAT ">
        <w:r>
          <w:rPr>
            <w:noProof/>
          </w:rPr>
          <w:t>2</w:t>
        </w:r>
      </w:fldSimple>
      <w:r>
        <w:t>-</w:t>
      </w:r>
      <w:fldSimple w:instr=" SEQ Abbildung \* Arabic \s 1  \* MERGEFORMAT ">
        <w:r>
          <w:rPr>
            <w:noProof/>
          </w:rPr>
          <w:t>1</w:t>
        </w:r>
      </w:fldSimple>
    </w:p>
    <w:p>
      <w:pPr>
        <w:pStyle w:val="BildBeschriftungtextBreite"/>
        <w:keepNext w:val="0"/>
      </w:pPr>
      <w:r>
        <w:rPr>
          <w:noProof/>
          <w:lang w:eastAsia="de-DE"/>
        </w:rPr>
        <w:drawing>
          <wp:inline distT="0" distB="0" distL="0" distR="0">
            <wp:extent cx="3571875" cy="5753100"/>
            <wp:effectExtent l="0" t="0" r="952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Unsecure_S71500.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71875" cy="5753100"/>
                    </a:xfrm>
                    <a:prstGeom prst="rect">
                      <a:avLst/>
                    </a:prstGeom>
                    <a:noFill/>
                    <a:ln>
                      <a:noFill/>
                    </a:ln>
                  </pic:spPr>
                </pic:pic>
              </a:graphicData>
            </a:graphic>
          </wp:inline>
        </w:drawing>
      </w:r>
    </w:p>
    <w:p>
      <w:pPr>
        <w:pStyle w:val="Blocktext"/>
      </w:pPr>
    </w:p>
    <w:p>
      <w:pPr>
        <w:pStyle w:val="Blocktext"/>
        <w:pageBreakBefore/>
      </w:pPr>
      <w:r>
        <w:lastRenderedPageBreak/>
        <w:t>In der folgenden Abbildung sehen Sie die Deklaration des Datenbausteins für die SIMATIC S7-300:</w:t>
      </w:r>
    </w:p>
    <w:p>
      <w:pPr>
        <w:pStyle w:val="Blocktext"/>
      </w:pPr>
    </w:p>
    <w:p>
      <w:pPr>
        <w:pStyle w:val="Blocktext"/>
      </w:pPr>
      <w:r>
        <w:t>Abbildung </w:t>
      </w:r>
      <w:fldSimple w:instr=" STYLEREF 1 \s  \* MERGEFORMAT ">
        <w:r>
          <w:rPr>
            <w:noProof/>
          </w:rPr>
          <w:t>2</w:t>
        </w:r>
      </w:fldSimple>
      <w:r>
        <w:t>-</w:t>
      </w:r>
      <w:fldSimple w:instr=" SEQ Abbildung \* Arabic \s 1  \* MERGEFORMAT ">
        <w:r>
          <w:rPr>
            <w:noProof/>
          </w:rPr>
          <w:t>2</w:t>
        </w:r>
      </w:fldSimple>
    </w:p>
    <w:p>
      <w:pPr>
        <w:pStyle w:val="BildBeschriftungtextBreite"/>
        <w:keepNext w:val="0"/>
      </w:pPr>
      <w:r>
        <w:rPr>
          <w:noProof/>
          <w:lang w:eastAsia="de-DE"/>
        </w:rPr>
        <w:drawing>
          <wp:inline distT="0" distB="0" distL="0" distR="0">
            <wp:extent cx="3218400" cy="5097600"/>
            <wp:effectExtent l="0" t="0" r="1270" b="825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Unsecure_S7300.pn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3218400" cy="5097600"/>
                    </a:xfrm>
                    <a:prstGeom prst="rect">
                      <a:avLst/>
                    </a:prstGeom>
                    <a:noFill/>
                    <a:ln>
                      <a:noFill/>
                    </a:ln>
                  </pic:spPr>
                </pic:pic>
              </a:graphicData>
            </a:graphic>
          </wp:inline>
        </w:drawing>
      </w:r>
    </w:p>
    <w:p>
      <w:pPr>
        <w:pStyle w:val="Blocktitel"/>
        <w:pageBreakBefore/>
      </w:pPr>
      <w:r>
        <w:lastRenderedPageBreak/>
        <w:t>Übersicht der Datentypen</w:t>
      </w:r>
    </w:p>
    <w:p>
      <w:pPr>
        <w:pStyle w:val="Blocktext"/>
        <w:rPr>
          <w:lang w:eastAsia="ja-JP"/>
        </w:rPr>
      </w:pPr>
      <w:r>
        <w:rPr>
          <w:lang w:eastAsia="ja-JP"/>
        </w:rPr>
        <w:t>Um die Datenmenge übersichtlich zu strukturieren, wurden mehrere Datentypen erstellt. Welche Datentypen im Programm verwendet werden, sehen Sie in der folgenden Auflistung:</w:t>
      </w:r>
    </w:p>
    <w:p>
      <w:pPr>
        <w:pStyle w:val="BulletText1"/>
      </w:pPr>
      <w:r>
        <w:t>"typeTcpConnParam"</w:t>
      </w:r>
    </w:p>
    <w:p>
      <w:pPr>
        <w:pStyle w:val="BulletText1"/>
      </w:pPr>
      <w:r>
        <w:t>"typeMqttParam"; untergliedert in</w:t>
      </w:r>
    </w:p>
    <w:p>
      <w:pPr>
        <w:pStyle w:val="BulletText2"/>
      </w:pPr>
      <w:r>
        <w:t>"typeMqttConnectFlags"</w:t>
      </w:r>
    </w:p>
    <w:p>
      <w:pPr>
        <w:pStyle w:val="BulletText2"/>
      </w:pPr>
      <w:r>
        <w:t>"typeMqttPublishFlags"</w:t>
      </w:r>
    </w:p>
    <w:p>
      <w:pPr>
        <w:pStyle w:val="Blocktitel"/>
      </w:pPr>
      <w:r>
        <w:t>Datentyp "typeTcpConnParam"</w:t>
      </w:r>
    </w:p>
    <w:p>
      <w:pPr>
        <w:pStyle w:val="Blocktext"/>
      </w:pPr>
      <w:r>
        <w:t>In diesem Datentyp werden alle Informationen abgelegt, die zum Aufbau der TCP-Verbindung notwendig sind. Sie können diese Parameter nach Ihren Vorgaben einstellen.</w:t>
      </w:r>
    </w:p>
    <w:p>
      <w:pPr>
        <w:pStyle w:val="Blocktext"/>
      </w:pPr>
      <w:r>
        <w:t>Die folgende Tabelle zeigt die Parameter der SIMATIC S7-1500/ SIMATIC S7-1200:</w:t>
      </w:r>
    </w:p>
    <w:p>
      <w:pPr>
        <w:pStyle w:val="TabellenBeschriftungTextBreite"/>
        <w:ind w:left="0" w:firstLine="0"/>
      </w:pPr>
      <w:r>
        <w:t>Tabelle </w:t>
      </w:r>
      <w:fldSimple w:instr=" STYLEREF 1 \s  \* MERGEFORMAT ">
        <w:r>
          <w:rPr>
            <w:noProof/>
          </w:rPr>
          <w:t>2</w:t>
        </w:r>
      </w:fldSimple>
      <w:r>
        <w:t>-</w:t>
      </w:r>
      <w:fldSimple w:instr=" SEQ Tabelle \* Arabic \s 1  \* MERGEFORMAT ">
        <w:r>
          <w:rPr>
            <w:noProof/>
          </w:rPr>
          <w:t>3</w:t>
        </w:r>
      </w:fldSimple>
    </w:p>
    <w:tbl>
      <w:tblPr>
        <w:tblStyle w:val="Tabellenraster"/>
        <w:tblW w:w="0" w:type="auto"/>
        <w:tblInd w:w="108" w:type="dxa"/>
        <w:tblLayout w:type="fixed"/>
        <w:tblLook w:val="04A0" w:firstRow="1" w:lastRow="0" w:firstColumn="1" w:lastColumn="0" w:noHBand="0" w:noVBand="1"/>
      </w:tblPr>
      <w:tblGrid>
        <w:gridCol w:w="1985"/>
        <w:gridCol w:w="1984"/>
        <w:gridCol w:w="4644"/>
      </w:tblGrid>
      <w:tr>
        <w:trPr>
          <w:tblHeader/>
        </w:trPr>
        <w:tc>
          <w:tcPr>
            <w:tcW w:w="1985" w:type="dxa"/>
            <w:tcBorders>
              <w:bottom w:val="single" w:sz="12" w:space="0" w:color="auto"/>
            </w:tcBorders>
            <w:shd w:val="clear" w:color="auto" w:fill="E6E6E6"/>
          </w:tcPr>
          <w:p>
            <w:pPr>
              <w:pStyle w:val="TabelleKopfzentriert"/>
            </w:pPr>
            <w:r>
              <w:t>Parameter</w:t>
            </w:r>
          </w:p>
        </w:tc>
        <w:tc>
          <w:tcPr>
            <w:tcW w:w="1984" w:type="dxa"/>
            <w:tcBorders>
              <w:bottom w:val="single" w:sz="12" w:space="0" w:color="auto"/>
            </w:tcBorders>
            <w:shd w:val="clear" w:color="auto" w:fill="E6E6E6"/>
          </w:tcPr>
          <w:p>
            <w:pPr>
              <w:pStyle w:val="TabelleKopfzentriert"/>
            </w:pPr>
            <w:r>
              <w:t>Datentyp</w:t>
            </w:r>
          </w:p>
        </w:tc>
        <w:tc>
          <w:tcPr>
            <w:tcW w:w="4644" w:type="dxa"/>
            <w:tcBorders>
              <w:bottom w:val="single" w:sz="12" w:space="0" w:color="auto"/>
            </w:tcBorders>
            <w:shd w:val="clear" w:color="auto" w:fill="E6E6E6"/>
          </w:tcPr>
          <w:p>
            <w:pPr>
              <w:pStyle w:val="TabelleKopfzentriert"/>
            </w:pPr>
            <w:r>
              <w:t>Bedeutung</w:t>
            </w:r>
          </w:p>
        </w:tc>
      </w:tr>
      <w:tr>
        <w:tc>
          <w:tcPr>
            <w:tcW w:w="1985" w:type="dxa"/>
            <w:tcBorders>
              <w:top w:val="single" w:sz="12" w:space="0" w:color="auto"/>
            </w:tcBorders>
            <w:shd w:val="clear" w:color="auto" w:fill="auto"/>
          </w:tcPr>
          <w:p>
            <w:pPr>
              <w:pStyle w:val="TabelleTextlinks"/>
            </w:pPr>
            <w:r>
              <w:t>hwIdentifier</w:t>
            </w:r>
          </w:p>
        </w:tc>
        <w:tc>
          <w:tcPr>
            <w:tcW w:w="1984" w:type="dxa"/>
            <w:tcBorders>
              <w:top w:val="single" w:sz="12" w:space="0" w:color="auto"/>
            </w:tcBorders>
          </w:tcPr>
          <w:p>
            <w:pPr>
              <w:pStyle w:val="TabelleTextlinks"/>
            </w:pPr>
            <w:r>
              <w:t>HW_ANY</w:t>
            </w:r>
          </w:p>
        </w:tc>
        <w:tc>
          <w:tcPr>
            <w:tcW w:w="4644" w:type="dxa"/>
            <w:tcBorders>
              <w:top w:val="single" w:sz="12" w:space="0" w:color="auto"/>
            </w:tcBorders>
            <w:shd w:val="clear" w:color="auto" w:fill="auto"/>
          </w:tcPr>
          <w:p>
            <w:pPr>
              <w:pStyle w:val="TabelleTextlinks"/>
            </w:pPr>
            <w:r>
              <w:t>HW-ID der PROFINET-Schnittstelle der CPU</w:t>
            </w:r>
          </w:p>
        </w:tc>
      </w:tr>
      <w:tr>
        <w:tc>
          <w:tcPr>
            <w:tcW w:w="1985" w:type="dxa"/>
            <w:shd w:val="clear" w:color="auto" w:fill="auto"/>
          </w:tcPr>
          <w:p>
            <w:pPr>
              <w:pStyle w:val="TabelleTextlinks"/>
            </w:pPr>
            <w:r>
              <w:t>connectionID</w:t>
            </w:r>
          </w:p>
        </w:tc>
        <w:tc>
          <w:tcPr>
            <w:tcW w:w="1984" w:type="dxa"/>
          </w:tcPr>
          <w:p>
            <w:pPr>
              <w:pStyle w:val="TabelleTextlinks"/>
            </w:pPr>
            <w:r>
              <w:t>CONN_OUC</w:t>
            </w:r>
          </w:p>
        </w:tc>
        <w:tc>
          <w:tcPr>
            <w:tcW w:w="4644" w:type="dxa"/>
            <w:shd w:val="clear" w:color="auto" w:fill="auto"/>
          </w:tcPr>
          <w:p>
            <w:pPr>
              <w:pStyle w:val="TabelleTextlinks"/>
            </w:pPr>
            <w:r>
              <w:t>ID der TCP-Verbindung</w:t>
            </w:r>
          </w:p>
        </w:tc>
      </w:tr>
      <w:tr>
        <w:tc>
          <w:tcPr>
            <w:tcW w:w="1985" w:type="dxa"/>
            <w:shd w:val="clear" w:color="auto" w:fill="auto"/>
          </w:tcPr>
          <w:p>
            <w:pPr>
              <w:pStyle w:val="TabelleTextlinks"/>
            </w:pPr>
            <w:r>
              <w:t>ipAdressBroker</w:t>
            </w:r>
          </w:p>
        </w:tc>
        <w:tc>
          <w:tcPr>
            <w:tcW w:w="1984" w:type="dxa"/>
          </w:tcPr>
          <w:p>
            <w:pPr>
              <w:pStyle w:val="TabelleTextlinks"/>
              <w:rPr>
                <w:lang w:val="en-US"/>
              </w:rPr>
            </w:pPr>
            <w:r>
              <w:rPr>
                <w:lang w:val="en-US"/>
              </w:rPr>
              <w:t>Array[0..3] of BYTE</w:t>
            </w:r>
          </w:p>
          <w:p>
            <w:pPr>
              <w:pStyle w:val="TabelleTextlinks"/>
              <w:rPr>
                <w:lang w:val="en-US"/>
              </w:rPr>
            </w:pPr>
          </w:p>
          <w:p>
            <w:pPr>
              <w:pStyle w:val="TabelleTextlinks"/>
              <w:rPr>
                <w:lang w:val="en-US"/>
              </w:rPr>
            </w:pPr>
          </w:p>
        </w:tc>
        <w:tc>
          <w:tcPr>
            <w:tcW w:w="4644" w:type="dxa"/>
            <w:shd w:val="clear" w:color="auto" w:fill="auto"/>
          </w:tcPr>
          <w:p>
            <w:pPr>
              <w:pStyle w:val="TabelleTextlinks"/>
            </w:pPr>
            <w:r>
              <w:t>IP-Adresse des Brokers, z. B. für die Adresse 192.168.0.10</w:t>
            </w:r>
          </w:p>
          <w:p>
            <w:pPr>
              <w:pStyle w:val="TabelleTextlinks"/>
            </w:pPr>
            <w:r>
              <w:t>ipAdressBroker[0] gleich "192"</w:t>
            </w:r>
          </w:p>
          <w:p>
            <w:pPr>
              <w:pStyle w:val="TabelleTextlinks"/>
            </w:pPr>
            <w:r>
              <w:t>ipAdressBroker[1] gleich "168"</w:t>
            </w:r>
          </w:p>
          <w:p>
            <w:pPr>
              <w:pStyle w:val="TabelleTextlinks"/>
            </w:pPr>
            <w:r>
              <w:t>ipAdressBroker[2] gleich "0"</w:t>
            </w:r>
          </w:p>
          <w:p>
            <w:pPr>
              <w:pStyle w:val="TabelleTextlinks"/>
            </w:pPr>
            <w:r>
              <w:t>ipAdressBroker[3] gleich "10"</w:t>
            </w:r>
          </w:p>
        </w:tc>
      </w:tr>
      <w:tr>
        <w:tc>
          <w:tcPr>
            <w:tcW w:w="1985" w:type="dxa"/>
            <w:shd w:val="clear" w:color="auto" w:fill="auto"/>
          </w:tcPr>
          <w:p>
            <w:pPr>
              <w:pStyle w:val="TabelleTextlinks"/>
            </w:pPr>
            <w:r>
              <w:t>localPort</w:t>
            </w:r>
          </w:p>
        </w:tc>
        <w:tc>
          <w:tcPr>
            <w:tcW w:w="1984" w:type="dxa"/>
          </w:tcPr>
          <w:p>
            <w:pPr>
              <w:pStyle w:val="TabelleTextlinks"/>
            </w:pPr>
            <w:r>
              <w:t>UINT</w:t>
            </w:r>
          </w:p>
        </w:tc>
        <w:tc>
          <w:tcPr>
            <w:tcW w:w="4644" w:type="dxa"/>
            <w:shd w:val="clear" w:color="auto" w:fill="auto"/>
          </w:tcPr>
          <w:p>
            <w:pPr>
              <w:pStyle w:val="TabelleTextlinks"/>
            </w:pPr>
            <w:r>
              <w:t>Lokale Portnummer in der CPU</w:t>
            </w:r>
          </w:p>
        </w:tc>
      </w:tr>
      <w:tr>
        <w:tc>
          <w:tcPr>
            <w:tcW w:w="1985" w:type="dxa"/>
            <w:shd w:val="clear" w:color="auto" w:fill="auto"/>
          </w:tcPr>
          <w:p>
            <w:pPr>
              <w:pStyle w:val="TabelleTextlinks"/>
            </w:pPr>
            <w:r>
              <w:t>mqttPort</w:t>
            </w:r>
          </w:p>
        </w:tc>
        <w:tc>
          <w:tcPr>
            <w:tcW w:w="1984" w:type="dxa"/>
          </w:tcPr>
          <w:p>
            <w:pPr>
              <w:pStyle w:val="TabelleTextlinks"/>
            </w:pPr>
            <w:r>
              <w:t>UINT</w:t>
            </w:r>
          </w:p>
        </w:tc>
        <w:tc>
          <w:tcPr>
            <w:tcW w:w="4644" w:type="dxa"/>
            <w:shd w:val="clear" w:color="auto" w:fill="auto"/>
          </w:tcPr>
          <w:p>
            <w:pPr>
              <w:pStyle w:val="TabelleTextlinks"/>
              <w:rPr>
                <w:lang w:val="en-US"/>
              </w:rPr>
            </w:pPr>
            <w:r>
              <w:rPr>
                <w:lang w:val="en-US"/>
              </w:rPr>
              <w:t>Remote Port am MQTT-Broker</w:t>
            </w:r>
          </w:p>
        </w:tc>
      </w:tr>
    </w:tbl>
    <w:p>
      <w:pPr>
        <w:pStyle w:val="Blocktext"/>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Wenn Sie die Bausteine aus der Bibliothek "LMqttQdn" verwenden, dann ersetzt der Parameter "qdnAddressBroker" den Parameter "ipAddressBroker".</w:t>
            </w:r>
          </w:p>
        </w:tc>
      </w:tr>
    </w:tbl>
    <w:p>
      <w:pPr>
        <w:pStyle w:val="Blocktext"/>
      </w:pPr>
      <w:r>
        <w:t>Die folgende Tabelle zeigt die Parameter der SIMATIC S7-300:</w:t>
      </w:r>
    </w:p>
    <w:p>
      <w:pPr>
        <w:pStyle w:val="TabellenBeschriftungTextBreite"/>
        <w:ind w:left="0" w:firstLine="0"/>
      </w:pPr>
      <w:r>
        <w:t>Tabelle </w:t>
      </w:r>
      <w:fldSimple w:instr=" STYLEREF 1 \s  \* MERGEFORMAT ">
        <w:r>
          <w:rPr>
            <w:noProof/>
          </w:rPr>
          <w:t>2</w:t>
        </w:r>
      </w:fldSimple>
      <w:r>
        <w:t>-</w:t>
      </w:r>
      <w:fldSimple w:instr=" SEQ Tabelle \* Arabic \s 1  \* MERGEFORMAT ">
        <w:r>
          <w:rPr>
            <w:noProof/>
          </w:rPr>
          <w:t>4</w:t>
        </w:r>
      </w:fldSimple>
    </w:p>
    <w:tbl>
      <w:tblPr>
        <w:tblStyle w:val="Tabellenraster"/>
        <w:tblW w:w="0" w:type="auto"/>
        <w:tblInd w:w="108" w:type="dxa"/>
        <w:tblLayout w:type="fixed"/>
        <w:tblLook w:val="04A0" w:firstRow="1" w:lastRow="0" w:firstColumn="1" w:lastColumn="0" w:noHBand="0" w:noVBand="1"/>
      </w:tblPr>
      <w:tblGrid>
        <w:gridCol w:w="1985"/>
        <w:gridCol w:w="1984"/>
        <w:gridCol w:w="4644"/>
      </w:tblGrid>
      <w:tr>
        <w:trPr>
          <w:tblHeader/>
        </w:trPr>
        <w:tc>
          <w:tcPr>
            <w:tcW w:w="1985" w:type="dxa"/>
            <w:tcBorders>
              <w:bottom w:val="single" w:sz="12" w:space="0" w:color="auto"/>
            </w:tcBorders>
            <w:shd w:val="clear" w:color="auto" w:fill="E6E6E6"/>
          </w:tcPr>
          <w:p>
            <w:pPr>
              <w:pStyle w:val="TabelleKopfzentriert"/>
            </w:pPr>
            <w:r>
              <w:t>Parameter</w:t>
            </w:r>
          </w:p>
        </w:tc>
        <w:tc>
          <w:tcPr>
            <w:tcW w:w="1984" w:type="dxa"/>
            <w:tcBorders>
              <w:bottom w:val="single" w:sz="12" w:space="0" w:color="auto"/>
            </w:tcBorders>
            <w:shd w:val="clear" w:color="auto" w:fill="E6E6E6"/>
          </w:tcPr>
          <w:p>
            <w:pPr>
              <w:pStyle w:val="TabelleKopfzentriert"/>
            </w:pPr>
            <w:r>
              <w:t>Datentyp</w:t>
            </w:r>
          </w:p>
        </w:tc>
        <w:tc>
          <w:tcPr>
            <w:tcW w:w="4644" w:type="dxa"/>
            <w:tcBorders>
              <w:bottom w:val="single" w:sz="12" w:space="0" w:color="auto"/>
            </w:tcBorders>
            <w:shd w:val="clear" w:color="auto" w:fill="E6E6E6"/>
          </w:tcPr>
          <w:p>
            <w:pPr>
              <w:pStyle w:val="TabelleKopfzentriert"/>
            </w:pPr>
            <w:r>
              <w:t>Bedeutung</w:t>
            </w:r>
          </w:p>
        </w:tc>
      </w:tr>
      <w:tr>
        <w:tc>
          <w:tcPr>
            <w:tcW w:w="1985" w:type="dxa"/>
            <w:tcBorders>
              <w:top w:val="single" w:sz="12" w:space="0" w:color="auto"/>
            </w:tcBorders>
            <w:shd w:val="clear" w:color="auto" w:fill="auto"/>
          </w:tcPr>
          <w:p>
            <w:pPr>
              <w:pStyle w:val="TabelleTextlinks"/>
            </w:pPr>
            <w:r>
              <w:t>localDeviceID</w:t>
            </w:r>
          </w:p>
        </w:tc>
        <w:tc>
          <w:tcPr>
            <w:tcW w:w="1984" w:type="dxa"/>
            <w:tcBorders>
              <w:top w:val="single" w:sz="12" w:space="0" w:color="auto"/>
            </w:tcBorders>
          </w:tcPr>
          <w:p>
            <w:pPr>
              <w:pStyle w:val="TabelleTextlinks"/>
            </w:pPr>
            <w:r>
              <w:t>Byte</w:t>
            </w:r>
          </w:p>
        </w:tc>
        <w:tc>
          <w:tcPr>
            <w:tcW w:w="4644" w:type="dxa"/>
            <w:tcBorders>
              <w:top w:val="single" w:sz="12" w:space="0" w:color="auto"/>
            </w:tcBorders>
            <w:shd w:val="clear" w:color="auto" w:fill="auto"/>
          </w:tcPr>
          <w:p>
            <w:pPr>
              <w:pStyle w:val="TabelleTextlinks"/>
            </w:pPr>
            <w:r>
              <w:t xml:space="preserve">Steckplatzbezeichnung der PROFINET-Schnittstelle der CPU (siehe </w:t>
            </w:r>
            <w:r>
              <w:rPr>
                <w:color w:val="0000FF"/>
                <w:u w:val="single"/>
              </w:rPr>
              <w:t xml:space="preserve">Kapitel </w:t>
            </w:r>
            <w:r>
              <w:rPr>
                <w:color w:val="0000FF"/>
                <w:u w:val="single"/>
              </w:rPr>
              <w:fldChar w:fldCharType="begin"/>
            </w:r>
            <w:r>
              <w:rPr>
                <w:color w:val="0000FF"/>
                <w:u w:val="single"/>
              </w:rPr>
              <w:instrText xml:space="preserve"> REF _Ref506460961 \r \h  \* MERGEFORMAT </w:instrText>
            </w:r>
            <w:r>
              <w:rPr>
                <w:color w:val="0000FF"/>
                <w:u w:val="single"/>
              </w:rPr>
            </w:r>
            <w:r>
              <w:rPr>
                <w:color w:val="0000FF"/>
                <w:u w:val="single"/>
              </w:rPr>
              <w:fldChar w:fldCharType="separate"/>
            </w:r>
            <w:r>
              <w:rPr>
                <w:color w:val="0000FF"/>
                <w:u w:val="single"/>
              </w:rPr>
              <w:t>4.2</w:t>
            </w:r>
            <w:r>
              <w:rPr>
                <w:color w:val="0000FF"/>
                <w:u w:val="single"/>
              </w:rPr>
              <w:fldChar w:fldCharType="end"/>
            </w:r>
            <w:r>
              <w:t>)</w:t>
            </w:r>
          </w:p>
        </w:tc>
      </w:tr>
      <w:tr>
        <w:tc>
          <w:tcPr>
            <w:tcW w:w="1985" w:type="dxa"/>
            <w:shd w:val="clear" w:color="auto" w:fill="auto"/>
          </w:tcPr>
          <w:p>
            <w:pPr>
              <w:pStyle w:val="TabelleTextlinks"/>
            </w:pPr>
            <w:r>
              <w:t>connectionID</w:t>
            </w:r>
          </w:p>
        </w:tc>
        <w:tc>
          <w:tcPr>
            <w:tcW w:w="1984" w:type="dxa"/>
          </w:tcPr>
          <w:p>
            <w:pPr>
              <w:pStyle w:val="TabelleTextlinks"/>
            </w:pPr>
            <w:r>
              <w:t>CONN_OUC</w:t>
            </w:r>
          </w:p>
        </w:tc>
        <w:tc>
          <w:tcPr>
            <w:tcW w:w="4644" w:type="dxa"/>
            <w:shd w:val="clear" w:color="auto" w:fill="auto"/>
          </w:tcPr>
          <w:p>
            <w:pPr>
              <w:pStyle w:val="TabelleTextlinks"/>
            </w:pPr>
            <w:r>
              <w:t>ID der TCP-Verbindung</w:t>
            </w:r>
          </w:p>
        </w:tc>
      </w:tr>
      <w:tr>
        <w:tc>
          <w:tcPr>
            <w:tcW w:w="1985" w:type="dxa"/>
            <w:shd w:val="clear" w:color="auto" w:fill="auto"/>
          </w:tcPr>
          <w:p>
            <w:pPr>
              <w:pStyle w:val="TabelleTextlinks"/>
            </w:pPr>
            <w:r>
              <w:t>ipAdressBroker</w:t>
            </w:r>
          </w:p>
        </w:tc>
        <w:tc>
          <w:tcPr>
            <w:tcW w:w="1984" w:type="dxa"/>
          </w:tcPr>
          <w:p>
            <w:pPr>
              <w:pStyle w:val="TabelleTextlinks"/>
              <w:rPr>
                <w:lang w:val="en-US"/>
              </w:rPr>
            </w:pPr>
            <w:r>
              <w:rPr>
                <w:lang w:val="en-US"/>
              </w:rPr>
              <w:t xml:space="preserve">Array[0..3] of INT </w:t>
            </w:r>
          </w:p>
          <w:p>
            <w:pPr>
              <w:pStyle w:val="TabelleTextlinks"/>
              <w:rPr>
                <w:lang w:val="en-US"/>
              </w:rPr>
            </w:pPr>
          </w:p>
          <w:p>
            <w:pPr>
              <w:pStyle w:val="TabelleTextlinks"/>
              <w:rPr>
                <w:lang w:val="en-US"/>
              </w:rPr>
            </w:pPr>
          </w:p>
        </w:tc>
        <w:tc>
          <w:tcPr>
            <w:tcW w:w="4644" w:type="dxa"/>
            <w:shd w:val="clear" w:color="auto" w:fill="auto"/>
          </w:tcPr>
          <w:p>
            <w:pPr>
              <w:pStyle w:val="TabelleTextlinks"/>
            </w:pPr>
            <w:r>
              <w:t>IP-Adresse des Brokers, z. B. für die Adresse 192.168.0.10</w:t>
            </w:r>
          </w:p>
          <w:p>
            <w:pPr>
              <w:pStyle w:val="TabelleTextlinks"/>
            </w:pPr>
            <w:r>
              <w:t>ipAdressBroker[0] gleich "192"</w:t>
            </w:r>
          </w:p>
          <w:p>
            <w:pPr>
              <w:pStyle w:val="TabelleTextlinks"/>
            </w:pPr>
            <w:r>
              <w:t>ipAdressBroker[1] gleich "168"</w:t>
            </w:r>
          </w:p>
          <w:p>
            <w:pPr>
              <w:pStyle w:val="TabelleTextlinks"/>
            </w:pPr>
            <w:r>
              <w:t>ipAdressBroker[2] gleich "0"</w:t>
            </w:r>
          </w:p>
          <w:p>
            <w:pPr>
              <w:pStyle w:val="TabelleTextlinks"/>
            </w:pPr>
            <w:r>
              <w:t>ipAdressBroker[3] gleich "10"</w:t>
            </w:r>
          </w:p>
        </w:tc>
      </w:tr>
      <w:tr>
        <w:tc>
          <w:tcPr>
            <w:tcW w:w="1985" w:type="dxa"/>
            <w:shd w:val="clear" w:color="auto" w:fill="auto"/>
          </w:tcPr>
          <w:p>
            <w:pPr>
              <w:pStyle w:val="TabelleTextlinks"/>
            </w:pPr>
            <w:r>
              <w:t>localPort</w:t>
            </w:r>
          </w:p>
        </w:tc>
        <w:tc>
          <w:tcPr>
            <w:tcW w:w="1984" w:type="dxa"/>
          </w:tcPr>
          <w:p>
            <w:pPr>
              <w:pStyle w:val="TabelleTextlinks"/>
            </w:pPr>
            <w:r>
              <w:t>UINT</w:t>
            </w:r>
          </w:p>
        </w:tc>
        <w:tc>
          <w:tcPr>
            <w:tcW w:w="4644" w:type="dxa"/>
            <w:shd w:val="clear" w:color="auto" w:fill="auto"/>
          </w:tcPr>
          <w:p>
            <w:pPr>
              <w:pStyle w:val="TabelleTextlinks"/>
            </w:pPr>
            <w:r>
              <w:t>Lokale Portnummer in der CPU</w:t>
            </w:r>
          </w:p>
        </w:tc>
      </w:tr>
      <w:tr>
        <w:tc>
          <w:tcPr>
            <w:tcW w:w="1985" w:type="dxa"/>
            <w:shd w:val="clear" w:color="auto" w:fill="auto"/>
          </w:tcPr>
          <w:p>
            <w:pPr>
              <w:pStyle w:val="TabelleTextlinks"/>
            </w:pPr>
            <w:r>
              <w:t>mqttPort</w:t>
            </w:r>
          </w:p>
        </w:tc>
        <w:tc>
          <w:tcPr>
            <w:tcW w:w="1984" w:type="dxa"/>
          </w:tcPr>
          <w:p>
            <w:pPr>
              <w:pStyle w:val="TabelleTextlinks"/>
            </w:pPr>
            <w:r>
              <w:t>UINT</w:t>
            </w:r>
          </w:p>
        </w:tc>
        <w:tc>
          <w:tcPr>
            <w:tcW w:w="4644" w:type="dxa"/>
            <w:shd w:val="clear" w:color="auto" w:fill="auto"/>
          </w:tcPr>
          <w:p>
            <w:pPr>
              <w:pStyle w:val="TabelleTextlinks"/>
              <w:rPr>
                <w:lang w:val="en-US"/>
              </w:rPr>
            </w:pPr>
            <w:r>
              <w:rPr>
                <w:lang w:val="en-US"/>
              </w:rPr>
              <w:t>Remote Port am MQTT-Broker</w:t>
            </w:r>
          </w:p>
        </w:tc>
      </w:tr>
    </w:tbl>
    <w:p>
      <w:pPr>
        <w:pStyle w:val="Blocktext"/>
        <w:rPr>
          <w:lang w:val="en-US"/>
        </w:rPr>
      </w:pPr>
    </w:p>
    <w:p>
      <w:pPr>
        <w:pStyle w:val="Blocktitel"/>
        <w:pageBreakBefore/>
      </w:pPr>
      <w:r>
        <w:lastRenderedPageBreak/>
        <w:t>Datentyp "typeMqttParam"</w:t>
      </w:r>
    </w:p>
    <w:p>
      <w:pPr>
        <w:pStyle w:val="Blocktext"/>
      </w:pPr>
      <w:r>
        <w:t>Dieser Datentyp beinhaltet alle Informationen zu MQTT.</w:t>
      </w:r>
      <w:r>
        <w:rPr>
          <w:lang w:eastAsia="ja-JP"/>
        </w:rPr>
        <w:t xml:space="preserve"> Welche Informationen Sie hier ablegen können, sehen Sie in der folgenden Auflistung:</w:t>
      </w:r>
    </w:p>
    <w:p>
      <w:pPr>
        <w:pStyle w:val="BulletText1"/>
      </w:pPr>
      <w:r>
        <w:t>Flags für den Verbindungsaubau</w:t>
      </w:r>
    </w:p>
    <w:p>
      <w:pPr>
        <w:pStyle w:val="BulletText1"/>
      </w:pPr>
      <w:r>
        <w:t>Flags für den Versand der Nachrichten</w:t>
      </w:r>
    </w:p>
    <w:p>
      <w:pPr>
        <w:pStyle w:val="BulletText1"/>
      </w:pPr>
      <w:r>
        <w:t>Anmeldeinformationen am Broker</w:t>
      </w:r>
    </w:p>
    <w:p>
      <w:pPr>
        <w:pStyle w:val="BulletText1"/>
      </w:pPr>
      <w:r>
        <w:t>Topic</w:t>
      </w:r>
    </w:p>
    <w:p>
      <w:pPr>
        <w:pStyle w:val="BulletText1"/>
      </w:pPr>
      <w:r>
        <w:t>Nachrichtentext</w:t>
      </w:r>
    </w:p>
    <w:p>
      <w:pPr>
        <w:pStyle w:val="Blocktext"/>
      </w:pPr>
      <w:r>
        <w:t>Um die große Menge der Parameter strukturierter darzustellen, wurden für die Flags eigene Datentypen angelegt.</w:t>
      </w:r>
    </w:p>
    <w:p>
      <w:pPr>
        <w:pStyle w:val="Blocktext"/>
      </w:pPr>
    </w:p>
    <w:p>
      <w:pPr>
        <w:pStyle w:val="Blocktext"/>
      </w:pPr>
      <w:r>
        <w:t>Mit dem Datentyp "typeMqttConnectFlags" können Sie die Flags für den Aufbau der Verbindung zum MQTT-Broker bestimmen.</w:t>
      </w:r>
    </w:p>
    <w:p>
      <w:pPr>
        <w:pStyle w:val="TabellenBeschriftungTextBreite"/>
        <w:ind w:left="0" w:firstLine="0"/>
      </w:pPr>
      <w:r>
        <w:t>Tabelle </w:t>
      </w:r>
      <w:fldSimple w:instr=" STYLEREF 1 \s  \* MERGEFORMAT ">
        <w:r>
          <w:rPr>
            <w:noProof/>
          </w:rPr>
          <w:t>2</w:t>
        </w:r>
      </w:fldSimple>
      <w:r>
        <w:t>-</w:t>
      </w:r>
      <w:fldSimple w:instr=" SEQ Tabelle \* Arabic \s 1  \* MERGEFORMAT ">
        <w:r>
          <w:rPr>
            <w:noProof/>
          </w:rPr>
          <w:t>5</w:t>
        </w:r>
      </w:fldSimple>
    </w:p>
    <w:tbl>
      <w:tblPr>
        <w:tblStyle w:val="Tabellenraster"/>
        <w:tblW w:w="0" w:type="auto"/>
        <w:tblInd w:w="108" w:type="dxa"/>
        <w:tblLayout w:type="fixed"/>
        <w:tblLook w:val="04A0" w:firstRow="1" w:lastRow="0" w:firstColumn="1" w:lastColumn="0" w:noHBand="0" w:noVBand="1"/>
      </w:tblPr>
      <w:tblGrid>
        <w:gridCol w:w="1985"/>
        <w:gridCol w:w="1417"/>
        <w:gridCol w:w="5211"/>
      </w:tblGrid>
      <w:tr>
        <w:trPr>
          <w:tblHeader/>
        </w:trPr>
        <w:tc>
          <w:tcPr>
            <w:tcW w:w="1985" w:type="dxa"/>
            <w:tcBorders>
              <w:bottom w:val="single" w:sz="12" w:space="0" w:color="auto"/>
            </w:tcBorders>
            <w:shd w:val="clear" w:color="auto" w:fill="E6E6E6"/>
          </w:tcPr>
          <w:p>
            <w:pPr>
              <w:pStyle w:val="TabelleKopfzentriert"/>
            </w:pPr>
            <w:r>
              <w:t>Parameter</w:t>
            </w:r>
          </w:p>
        </w:tc>
        <w:tc>
          <w:tcPr>
            <w:tcW w:w="1417" w:type="dxa"/>
            <w:tcBorders>
              <w:bottom w:val="single" w:sz="12" w:space="0" w:color="auto"/>
            </w:tcBorders>
            <w:shd w:val="clear" w:color="auto" w:fill="E6E6E6"/>
          </w:tcPr>
          <w:p>
            <w:pPr>
              <w:pStyle w:val="TabelleKopfzentriert"/>
            </w:pPr>
            <w:r>
              <w:t>Datentyp</w:t>
            </w:r>
          </w:p>
        </w:tc>
        <w:tc>
          <w:tcPr>
            <w:tcW w:w="5211" w:type="dxa"/>
            <w:tcBorders>
              <w:bottom w:val="single" w:sz="12" w:space="0" w:color="auto"/>
            </w:tcBorders>
            <w:shd w:val="clear" w:color="auto" w:fill="E6E6E6"/>
          </w:tcPr>
          <w:p>
            <w:pPr>
              <w:pStyle w:val="TabelleKopfzentriert"/>
            </w:pPr>
            <w:r>
              <w:t>Bedeutung</w:t>
            </w:r>
          </w:p>
        </w:tc>
      </w:tr>
      <w:tr>
        <w:tc>
          <w:tcPr>
            <w:tcW w:w="1985" w:type="dxa"/>
            <w:tcBorders>
              <w:top w:val="single" w:sz="12" w:space="0" w:color="auto"/>
            </w:tcBorders>
            <w:shd w:val="clear" w:color="auto" w:fill="auto"/>
          </w:tcPr>
          <w:p>
            <w:pPr>
              <w:pStyle w:val="TabelleTextlinks"/>
            </w:pPr>
            <w:r>
              <w:t>cleanSession</w:t>
            </w:r>
          </w:p>
        </w:tc>
        <w:tc>
          <w:tcPr>
            <w:tcW w:w="1417" w:type="dxa"/>
            <w:tcBorders>
              <w:top w:val="single" w:sz="12" w:space="0" w:color="auto"/>
            </w:tcBorders>
          </w:tcPr>
          <w:p>
            <w:r>
              <w:t>BOOL</w:t>
            </w:r>
          </w:p>
        </w:tc>
        <w:tc>
          <w:tcPr>
            <w:tcW w:w="5211" w:type="dxa"/>
            <w:tcBorders>
              <w:top w:val="single" w:sz="12" w:space="0" w:color="auto"/>
            </w:tcBorders>
            <w:shd w:val="clear" w:color="auto" w:fill="auto"/>
          </w:tcPr>
          <w:p>
            <w:pPr>
              <w:pStyle w:val="TabelleTextlinks"/>
            </w:pPr>
            <w:r>
              <w:t>True, wenn alle Daten aus einer vorherigen Session gelöscht werden sollen.</w:t>
            </w:r>
          </w:p>
        </w:tc>
      </w:tr>
      <w:tr>
        <w:tc>
          <w:tcPr>
            <w:tcW w:w="1985" w:type="dxa"/>
            <w:shd w:val="clear" w:color="auto" w:fill="auto"/>
          </w:tcPr>
          <w:p>
            <w:pPr>
              <w:pStyle w:val="TabelleTextlinks"/>
            </w:pPr>
            <w:r>
              <w:t>will</w:t>
            </w:r>
          </w:p>
        </w:tc>
        <w:tc>
          <w:tcPr>
            <w:tcW w:w="1417" w:type="dxa"/>
          </w:tcPr>
          <w:p>
            <w:r>
              <w:t>BOOL</w:t>
            </w:r>
          </w:p>
        </w:tc>
        <w:tc>
          <w:tcPr>
            <w:tcW w:w="5211" w:type="dxa"/>
            <w:shd w:val="clear" w:color="auto" w:fill="auto"/>
          </w:tcPr>
          <w:p>
            <w:pPr>
              <w:pStyle w:val="TabelleTextlinks"/>
            </w:pPr>
            <w:r>
              <w:t>Aktiviert die "Last Will and Testament"-Funktion.</w:t>
            </w:r>
          </w:p>
        </w:tc>
      </w:tr>
      <w:tr>
        <w:tc>
          <w:tcPr>
            <w:tcW w:w="1985" w:type="dxa"/>
            <w:shd w:val="clear" w:color="auto" w:fill="auto"/>
          </w:tcPr>
          <w:p>
            <w:pPr>
              <w:pStyle w:val="TabelleTextlinks"/>
            </w:pPr>
            <w:r>
              <w:t>willQoS_1</w:t>
            </w:r>
          </w:p>
        </w:tc>
        <w:tc>
          <w:tcPr>
            <w:tcW w:w="1417" w:type="dxa"/>
          </w:tcPr>
          <w:p>
            <w:r>
              <w:t>BOOL</w:t>
            </w:r>
          </w:p>
        </w:tc>
        <w:tc>
          <w:tcPr>
            <w:tcW w:w="5211" w:type="dxa"/>
            <w:shd w:val="clear" w:color="auto" w:fill="auto"/>
          </w:tcPr>
          <w:p>
            <w:pPr>
              <w:pStyle w:val="TabelleTextlinks"/>
            </w:pPr>
            <w:r>
              <w:t>True, wenn das QoS für den letzten Willen die Stufe 1 hat.</w:t>
            </w:r>
          </w:p>
        </w:tc>
      </w:tr>
      <w:tr>
        <w:tc>
          <w:tcPr>
            <w:tcW w:w="1985" w:type="dxa"/>
            <w:shd w:val="clear" w:color="auto" w:fill="auto"/>
          </w:tcPr>
          <w:p>
            <w:pPr>
              <w:pStyle w:val="TabelleTextlinks"/>
            </w:pPr>
            <w:r>
              <w:t>willQoS_2</w:t>
            </w:r>
          </w:p>
        </w:tc>
        <w:tc>
          <w:tcPr>
            <w:tcW w:w="1417" w:type="dxa"/>
          </w:tcPr>
          <w:p>
            <w:r>
              <w:t>BOOL</w:t>
            </w:r>
          </w:p>
        </w:tc>
        <w:tc>
          <w:tcPr>
            <w:tcW w:w="5211" w:type="dxa"/>
            <w:shd w:val="clear" w:color="auto" w:fill="auto"/>
          </w:tcPr>
          <w:p>
            <w:pPr>
              <w:pStyle w:val="TabelleTextlinks"/>
            </w:pPr>
            <w:r>
              <w:t>True, wenn das QoS für den letzten Willen die Stufe 2 hat.</w:t>
            </w:r>
          </w:p>
        </w:tc>
      </w:tr>
      <w:tr>
        <w:tc>
          <w:tcPr>
            <w:tcW w:w="1985" w:type="dxa"/>
            <w:shd w:val="clear" w:color="auto" w:fill="auto"/>
          </w:tcPr>
          <w:p>
            <w:pPr>
              <w:pStyle w:val="TabelleTextlinks"/>
            </w:pPr>
            <w:r>
              <w:t>willRetain</w:t>
            </w:r>
          </w:p>
        </w:tc>
        <w:tc>
          <w:tcPr>
            <w:tcW w:w="1417" w:type="dxa"/>
          </w:tcPr>
          <w:p>
            <w:r>
              <w:t>BOOL</w:t>
            </w:r>
          </w:p>
        </w:tc>
        <w:tc>
          <w:tcPr>
            <w:tcW w:w="5211" w:type="dxa"/>
            <w:shd w:val="clear" w:color="auto" w:fill="auto"/>
          </w:tcPr>
          <w:p>
            <w:pPr>
              <w:pStyle w:val="TabelleTextlinks"/>
            </w:pPr>
            <w:r>
              <w:t>True, wenn der letzte Wille gespeichert werden soll, sobald er verschickt wurde.</w:t>
            </w:r>
          </w:p>
        </w:tc>
      </w:tr>
      <w:tr>
        <w:tc>
          <w:tcPr>
            <w:tcW w:w="1985" w:type="dxa"/>
            <w:shd w:val="clear" w:color="auto" w:fill="auto"/>
          </w:tcPr>
          <w:p>
            <w:pPr>
              <w:pStyle w:val="TabelleTextlinks"/>
            </w:pPr>
            <w:r>
              <w:t>password</w:t>
            </w:r>
          </w:p>
        </w:tc>
        <w:tc>
          <w:tcPr>
            <w:tcW w:w="1417" w:type="dxa"/>
          </w:tcPr>
          <w:p>
            <w:r>
              <w:t>BOOL</w:t>
            </w:r>
          </w:p>
        </w:tc>
        <w:tc>
          <w:tcPr>
            <w:tcW w:w="5211" w:type="dxa"/>
            <w:shd w:val="clear" w:color="auto" w:fill="auto"/>
          </w:tcPr>
          <w:p>
            <w:pPr>
              <w:pStyle w:val="TabelleTextlinks"/>
            </w:pPr>
            <w:r>
              <w:t xml:space="preserve">True, wenn der MQTT-Broker eine Anmeldung (Name und Passwort) des Client erfordert. </w:t>
            </w:r>
          </w:p>
        </w:tc>
      </w:tr>
      <w:tr>
        <w:tc>
          <w:tcPr>
            <w:tcW w:w="1985" w:type="dxa"/>
            <w:shd w:val="clear" w:color="auto" w:fill="auto"/>
          </w:tcPr>
          <w:p>
            <w:pPr>
              <w:pStyle w:val="TabelleTextlinks"/>
            </w:pPr>
            <w:r>
              <w:t>username</w:t>
            </w:r>
          </w:p>
        </w:tc>
        <w:tc>
          <w:tcPr>
            <w:tcW w:w="1417" w:type="dxa"/>
          </w:tcPr>
          <w:p>
            <w:r>
              <w:t>BOOL</w:t>
            </w:r>
          </w:p>
        </w:tc>
        <w:tc>
          <w:tcPr>
            <w:tcW w:w="5211" w:type="dxa"/>
            <w:shd w:val="clear" w:color="auto" w:fill="auto"/>
          </w:tcPr>
          <w:p>
            <w:pPr>
              <w:pStyle w:val="TabelleTextlinks"/>
            </w:pPr>
            <w:r>
              <w:t>True, wenn der MQTT-Broker eine Anmeldung (Name und Passwort) des Client erfordert.</w:t>
            </w:r>
          </w:p>
        </w:tc>
      </w:tr>
    </w:tbl>
    <w:p>
      <w:pPr>
        <w:pStyle w:val="Blocktext"/>
      </w:pPr>
    </w:p>
    <w:p>
      <w:pPr>
        <w:pStyle w:val="Blocktext"/>
      </w:pPr>
      <w:r>
        <w:t>Mit dem Datentyp "typeMqttPublishFlags" können Sie die Flags für die MQTT-Nachricht bestimmen.</w:t>
      </w:r>
    </w:p>
    <w:p>
      <w:pPr>
        <w:pStyle w:val="TabellenBeschriftungTextBreite"/>
        <w:ind w:left="0" w:firstLine="0"/>
      </w:pPr>
      <w:r>
        <w:t>Tabelle </w:t>
      </w:r>
      <w:fldSimple w:instr=" STYLEREF 1 \s  \* MERGEFORMAT ">
        <w:r>
          <w:rPr>
            <w:noProof/>
          </w:rPr>
          <w:t>2</w:t>
        </w:r>
      </w:fldSimple>
      <w:r>
        <w:t>-</w:t>
      </w:r>
      <w:fldSimple w:instr=" SEQ Tabelle \* Arabic \s 1  \* MERGEFORMAT ">
        <w:r>
          <w:rPr>
            <w:noProof/>
          </w:rPr>
          <w:t>6</w:t>
        </w:r>
      </w:fldSimple>
    </w:p>
    <w:tbl>
      <w:tblPr>
        <w:tblStyle w:val="Tabellenraster"/>
        <w:tblW w:w="0" w:type="auto"/>
        <w:tblInd w:w="108" w:type="dxa"/>
        <w:tblLayout w:type="fixed"/>
        <w:tblLook w:val="04A0" w:firstRow="1" w:lastRow="0" w:firstColumn="1" w:lastColumn="0" w:noHBand="0" w:noVBand="1"/>
      </w:tblPr>
      <w:tblGrid>
        <w:gridCol w:w="1985"/>
        <w:gridCol w:w="1417"/>
        <w:gridCol w:w="5211"/>
      </w:tblGrid>
      <w:tr>
        <w:trPr>
          <w:tblHeader/>
        </w:trPr>
        <w:tc>
          <w:tcPr>
            <w:tcW w:w="1985" w:type="dxa"/>
            <w:tcBorders>
              <w:bottom w:val="single" w:sz="12" w:space="0" w:color="auto"/>
            </w:tcBorders>
            <w:shd w:val="clear" w:color="auto" w:fill="E6E6E6"/>
          </w:tcPr>
          <w:p>
            <w:pPr>
              <w:pStyle w:val="TabelleKopfzentriert"/>
            </w:pPr>
            <w:r>
              <w:t>Parameter</w:t>
            </w:r>
          </w:p>
        </w:tc>
        <w:tc>
          <w:tcPr>
            <w:tcW w:w="1417" w:type="dxa"/>
            <w:tcBorders>
              <w:bottom w:val="single" w:sz="12" w:space="0" w:color="auto"/>
            </w:tcBorders>
            <w:shd w:val="clear" w:color="auto" w:fill="E6E6E6"/>
          </w:tcPr>
          <w:p>
            <w:pPr>
              <w:pStyle w:val="TabelleKopfzentriert"/>
            </w:pPr>
            <w:r>
              <w:t>Datentyp</w:t>
            </w:r>
          </w:p>
        </w:tc>
        <w:tc>
          <w:tcPr>
            <w:tcW w:w="5211" w:type="dxa"/>
            <w:tcBorders>
              <w:bottom w:val="single" w:sz="12" w:space="0" w:color="auto"/>
            </w:tcBorders>
            <w:shd w:val="clear" w:color="auto" w:fill="E6E6E6"/>
          </w:tcPr>
          <w:p>
            <w:pPr>
              <w:pStyle w:val="TabelleKopfzentriert"/>
            </w:pPr>
            <w:r>
              <w:t>Bedeutung</w:t>
            </w:r>
          </w:p>
        </w:tc>
      </w:tr>
      <w:tr>
        <w:tc>
          <w:tcPr>
            <w:tcW w:w="1985" w:type="dxa"/>
            <w:shd w:val="clear" w:color="auto" w:fill="auto"/>
          </w:tcPr>
          <w:p>
            <w:pPr>
              <w:pStyle w:val="TabelleTextlinks"/>
            </w:pPr>
            <w:r>
              <w:t>qualityOfService</w:t>
            </w:r>
          </w:p>
        </w:tc>
        <w:tc>
          <w:tcPr>
            <w:tcW w:w="1417" w:type="dxa"/>
          </w:tcPr>
          <w:p>
            <w:r>
              <w:t>INT</w:t>
            </w:r>
          </w:p>
        </w:tc>
        <w:tc>
          <w:tcPr>
            <w:tcW w:w="5211" w:type="dxa"/>
            <w:shd w:val="clear" w:color="auto" w:fill="auto"/>
          </w:tcPr>
          <w:p>
            <w:pPr>
              <w:pStyle w:val="TabelleTextlinks"/>
            </w:pPr>
            <w:r>
              <w:t>Definiert den QoS-Level für die MQTT-Nachricht. Mögliche Werte sind:</w:t>
            </w:r>
          </w:p>
          <w:p>
            <w:pPr>
              <w:pStyle w:val="TabelleBulletText1"/>
            </w:pPr>
            <w:r>
              <w:t>"0" für QoS-Stufe 0</w:t>
            </w:r>
          </w:p>
          <w:p>
            <w:pPr>
              <w:pStyle w:val="TabelleBulletText1"/>
            </w:pPr>
            <w:r>
              <w:t>"1" für QoS-Stufe 1</w:t>
            </w:r>
          </w:p>
          <w:p>
            <w:pPr>
              <w:pStyle w:val="TabelleBulletText1"/>
            </w:pPr>
            <w:r>
              <w:t>"2" für QoS-Stufe 2</w:t>
            </w:r>
          </w:p>
        </w:tc>
      </w:tr>
      <w:tr>
        <w:tc>
          <w:tcPr>
            <w:tcW w:w="1985" w:type="dxa"/>
            <w:shd w:val="clear" w:color="auto" w:fill="auto"/>
          </w:tcPr>
          <w:p>
            <w:pPr>
              <w:pStyle w:val="TabelleTextlinks"/>
            </w:pPr>
            <w:r>
              <w:t>retain</w:t>
            </w:r>
          </w:p>
        </w:tc>
        <w:tc>
          <w:tcPr>
            <w:tcW w:w="1417" w:type="dxa"/>
          </w:tcPr>
          <w:p>
            <w:r>
              <w:t>BOOL</w:t>
            </w:r>
          </w:p>
        </w:tc>
        <w:tc>
          <w:tcPr>
            <w:tcW w:w="5211" w:type="dxa"/>
            <w:shd w:val="clear" w:color="auto" w:fill="auto"/>
          </w:tcPr>
          <w:p>
            <w:pPr>
              <w:pStyle w:val="TabelleTextlinks"/>
            </w:pPr>
            <w:r>
              <w:t>True, wenn die Nachricht am Broker gespeichert werden soll.</w:t>
            </w:r>
          </w:p>
        </w:tc>
      </w:tr>
    </w:tbl>
    <w:p>
      <w:pPr>
        <w:pStyle w:val="Blocktext"/>
        <w:rPr>
          <w:lang w:eastAsia="ja-JP"/>
        </w:rPr>
      </w:pPr>
    </w:p>
    <w:p>
      <w:pPr>
        <w:pStyle w:val="Blocktext"/>
        <w:pageBreakBefore/>
      </w:pPr>
      <w:r>
        <w:lastRenderedPageBreak/>
        <w:t>In der folgenden Tabelle sehen Sie die weiteren Parameter des Datentyps "typeMqttParam", die Sie für MQTT bestimmen können.</w:t>
      </w:r>
    </w:p>
    <w:p>
      <w:pPr>
        <w:pStyle w:val="TabellenBeschriftungTextBreite"/>
        <w:ind w:left="0" w:firstLine="0"/>
      </w:pPr>
      <w:r>
        <w:t>Tabelle </w:t>
      </w:r>
      <w:fldSimple w:instr=" STYLEREF 1 \s  \* MERGEFORMAT ">
        <w:r>
          <w:rPr>
            <w:noProof/>
          </w:rPr>
          <w:t>2</w:t>
        </w:r>
      </w:fldSimple>
      <w:r>
        <w:t>-</w:t>
      </w:r>
      <w:fldSimple w:instr=" SEQ Tabelle \* Arabic \s 1  \* MERGEFORMAT ">
        <w:r>
          <w:rPr>
            <w:noProof/>
          </w:rPr>
          <w:t>7</w:t>
        </w:r>
      </w:fldSimple>
    </w:p>
    <w:tbl>
      <w:tblPr>
        <w:tblStyle w:val="Tabellenraster"/>
        <w:tblW w:w="0" w:type="auto"/>
        <w:tblInd w:w="108" w:type="dxa"/>
        <w:tblLayout w:type="fixed"/>
        <w:tblLook w:val="04A0" w:firstRow="1" w:lastRow="0" w:firstColumn="1" w:lastColumn="0" w:noHBand="0" w:noVBand="1"/>
      </w:tblPr>
      <w:tblGrid>
        <w:gridCol w:w="1985"/>
        <w:gridCol w:w="1417"/>
        <w:gridCol w:w="5211"/>
      </w:tblGrid>
      <w:tr>
        <w:trPr>
          <w:tblHeader/>
        </w:trPr>
        <w:tc>
          <w:tcPr>
            <w:tcW w:w="1985" w:type="dxa"/>
            <w:tcBorders>
              <w:bottom w:val="single" w:sz="12" w:space="0" w:color="auto"/>
            </w:tcBorders>
            <w:shd w:val="clear" w:color="auto" w:fill="E6E6E6"/>
          </w:tcPr>
          <w:p>
            <w:pPr>
              <w:pStyle w:val="TabelleKopfzentriert"/>
            </w:pPr>
            <w:r>
              <w:t>Parameter</w:t>
            </w:r>
          </w:p>
        </w:tc>
        <w:tc>
          <w:tcPr>
            <w:tcW w:w="1417" w:type="dxa"/>
            <w:tcBorders>
              <w:bottom w:val="single" w:sz="12" w:space="0" w:color="auto"/>
            </w:tcBorders>
            <w:shd w:val="clear" w:color="auto" w:fill="E6E6E6"/>
          </w:tcPr>
          <w:p>
            <w:pPr>
              <w:pStyle w:val="TabelleKopfzentriert"/>
            </w:pPr>
            <w:r>
              <w:t>Datentyp</w:t>
            </w:r>
          </w:p>
        </w:tc>
        <w:tc>
          <w:tcPr>
            <w:tcW w:w="5211" w:type="dxa"/>
            <w:tcBorders>
              <w:bottom w:val="single" w:sz="12" w:space="0" w:color="auto"/>
            </w:tcBorders>
            <w:shd w:val="clear" w:color="auto" w:fill="E6E6E6"/>
          </w:tcPr>
          <w:p>
            <w:pPr>
              <w:pStyle w:val="TabelleKopfzentriert"/>
            </w:pPr>
            <w:r>
              <w:t>Bedeutung</w:t>
            </w:r>
          </w:p>
        </w:tc>
      </w:tr>
      <w:tr>
        <w:tc>
          <w:tcPr>
            <w:tcW w:w="1985" w:type="dxa"/>
            <w:tcBorders>
              <w:top w:val="single" w:sz="12" w:space="0" w:color="auto"/>
            </w:tcBorders>
            <w:shd w:val="clear" w:color="auto" w:fill="auto"/>
          </w:tcPr>
          <w:p>
            <w:pPr>
              <w:pStyle w:val="TabelleTextlinks"/>
            </w:pPr>
            <w:r>
              <w:t>keepAlive</w:t>
            </w:r>
          </w:p>
        </w:tc>
        <w:tc>
          <w:tcPr>
            <w:tcW w:w="1417" w:type="dxa"/>
            <w:tcBorders>
              <w:top w:val="single" w:sz="12" w:space="0" w:color="auto"/>
            </w:tcBorders>
          </w:tcPr>
          <w:p>
            <w:pPr>
              <w:pStyle w:val="TabelleTextlinks"/>
            </w:pPr>
            <w:r>
              <w:t>WORD</w:t>
            </w:r>
          </w:p>
        </w:tc>
        <w:tc>
          <w:tcPr>
            <w:tcW w:w="5211" w:type="dxa"/>
            <w:tcBorders>
              <w:top w:val="single" w:sz="12" w:space="0" w:color="auto"/>
            </w:tcBorders>
            <w:shd w:val="clear" w:color="auto" w:fill="auto"/>
          </w:tcPr>
          <w:p>
            <w:pPr>
              <w:pStyle w:val="TabelleTextlinks"/>
            </w:pPr>
            <w:r>
              <w:t xml:space="preserve">Zeitintervall der KeepAlive-Funktion in Sekunden. Die Zeit wird in hexadezimaler Schreibweise angegeben. Ein keepAlive mit Wert "0" deaktiviert die KeepAlive-Funktion. Die maximal zulässige Zeit ist 18h 12min 15 s. </w:t>
            </w:r>
          </w:p>
        </w:tc>
      </w:tr>
      <w:tr>
        <w:tc>
          <w:tcPr>
            <w:tcW w:w="1985" w:type="dxa"/>
            <w:shd w:val="clear" w:color="auto" w:fill="auto"/>
          </w:tcPr>
          <w:p>
            <w:pPr>
              <w:pStyle w:val="TabelleTextlinks"/>
            </w:pPr>
            <w:r>
              <w:t>packetIdentifier</w:t>
            </w:r>
          </w:p>
        </w:tc>
        <w:tc>
          <w:tcPr>
            <w:tcW w:w="1417" w:type="dxa"/>
          </w:tcPr>
          <w:p>
            <w:pPr>
              <w:pStyle w:val="TabelleTextlinks"/>
            </w:pPr>
            <w:r>
              <w:t>WORD</w:t>
            </w:r>
          </w:p>
        </w:tc>
        <w:tc>
          <w:tcPr>
            <w:tcW w:w="5211" w:type="dxa"/>
            <w:shd w:val="clear" w:color="auto" w:fill="auto"/>
          </w:tcPr>
          <w:p>
            <w:pPr>
              <w:pStyle w:val="TabelleTextlinks"/>
            </w:pPr>
            <w:r>
              <w:t>Startwert für die Paketnummern. Die Nummer wird automatisch im Programm inkrementiert.</w:t>
            </w:r>
          </w:p>
        </w:tc>
      </w:tr>
      <w:tr>
        <w:trPr>
          <w:trHeight w:val="467"/>
        </w:trPr>
        <w:tc>
          <w:tcPr>
            <w:tcW w:w="1985" w:type="dxa"/>
            <w:shd w:val="clear" w:color="auto" w:fill="auto"/>
          </w:tcPr>
          <w:p>
            <w:pPr>
              <w:pStyle w:val="TabelleTextlinks"/>
            </w:pPr>
            <w:r>
              <w:t>clientIdentifier</w:t>
            </w:r>
          </w:p>
        </w:tc>
        <w:tc>
          <w:tcPr>
            <w:tcW w:w="1417" w:type="dxa"/>
          </w:tcPr>
          <w:p>
            <w:pPr>
              <w:pStyle w:val="TabelleTextlinks"/>
            </w:pPr>
            <w:r>
              <w:t>String [23]</w:t>
            </w:r>
          </w:p>
        </w:tc>
        <w:tc>
          <w:tcPr>
            <w:tcW w:w="5211" w:type="dxa"/>
            <w:shd w:val="clear" w:color="auto" w:fill="auto"/>
          </w:tcPr>
          <w:p>
            <w:pPr>
              <w:pStyle w:val="TabelleTextlinks"/>
            </w:pPr>
            <w:r>
              <w:t>Eindeutiger Name des Clients. Mit diesem Namen identifiziert sich der Client am Broker beim Verbindungsaufbau.</w:t>
            </w:r>
            <w:r>
              <w:br/>
              <w:t>Erlaubt sind:</w:t>
            </w:r>
          </w:p>
          <w:p>
            <w:pPr>
              <w:pStyle w:val="TabelleBulletText1"/>
            </w:pPr>
            <w:r>
              <w:t>Zahlen</w:t>
            </w:r>
          </w:p>
          <w:p>
            <w:pPr>
              <w:pStyle w:val="TabelleBulletText1"/>
            </w:pPr>
            <w:r>
              <w:t>Klein- und Großbuchstaben</w:t>
            </w:r>
          </w:p>
        </w:tc>
      </w:tr>
      <w:tr>
        <w:tc>
          <w:tcPr>
            <w:tcW w:w="1985" w:type="dxa"/>
            <w:shd w:val="clear" w:color="auto" w:fill="auto"/>
          </w:tcPr>
          <w:p>
            <w:pPr>
              <w:pStyle w:val="TabelleTextlinks"/>
            </w:pPr>
            <w:r>
              <w:t>willTopic</w:t>
            </w:r>
          </w:p>
        </w:tc>
        <w:tc>
          <w:tcPr>
            <w:tcW w:w="1417" w:type="dxa"/>
          </w:tcPr>
          <w:p>
            <w:pPr>
              <w:pStyle w:val="TabelleTextlinks"/>
            </w:pPr>
            <w:r>
              <w:t>String [100]</w:t>
            </w:r>
          </w:p>
        </w:tc>
        <w:tc>
          <w:tcPr>
            <w:tcW w:w="5211" w:type="dxa"/>
            <w:shd w:val="clear" w:color="auto" w:fill="auto"/>
          </w:tcPr>
          <w:p>
            <w:pPr>
              <w:pStyle w:val="TabelleTextlinks"/>
            </w:pPr>
            <w:r>
              <w:t>Wenn das will-Flag gesetzt ist, muss an dieser Stelle das Topic für den letzten Willen definiert werden.</w:t>
            </w:r>
          </w:p>
        </w:tc>
      </w:tr>
      <w:tr>
        <w:tc>
          <w:tcPr>
            <w:tcW w:w="1985" w:type="dxa"/>
            <w:shd w:val="clear" w:color="auto" w:fill="auto"/>
          </w:tcPr>
          <w:p>
            <w:pPr>
              <w:pStyle w:val="TabelleTextlinks"/>
            </w:pPr>
            <w:r>
              <w:t>willMessage</w:t>
            </w:r>
          </w:p>
        </w:tc>
        <w:tc>
          <w:tcPr>
            <w:tcW w:w="1417" w:type="dxa"/>
          </w:tcPr>
          <w:p>
            <w:pPr>
              <w:pStyle w:val="TabelleTextlinks"/>
            </w:pPr>
            <w:r>
              <w:t>String [100]</w:t>
            </w:r>
          </w:p>
        </w:tc>
        <w:tc>
          <w:tcPr>
            <w:tcW w:w="5211" w:type="dxa"/>
            <w:shd w:val="clear" w:color="auto" w:fill="auto"/>
          </w:tcPr>
          <w:p>
            <w:pPr>
              <w:pStyle w:val="TabelleTextlinks"/>
            </w:pPr>
            <w:r>
              <w:t>Wenn das will-Flag gesetzt ist, muss an dieser Stelle die Nachricht für den letzten Willen definiert werden.</w:t>
            </w:r>
          </w:p>
        </w:tc>
      </w:tr>
      <w:tr>
        <w:tc>
          <w:tcPr>
            <w:tcW w:w="1985" w:type="dxa"/>
            <w:shd w:val="clear" w:color="auto" w:fill="auto"/>
          </w:tcPr>
          <w:p>
            <w:pPr>
              <w:pStyle w:val="TabelleTextlinks"/>
            </w:pPr>
            <w:r>
              <w:t>userName</w:t>
            </w:r>
          </w:p>
        </w:tc>
        <w:tc>
          <w:tcPr>
            <w:tcW w:w="1417" w:type="dxa"/>
          </w:tcPr>
          <w:p>
            <w:pPr>
              <w:pStyle w:val="TabelleTextlinks"/>
            </w:pPr>
            <w:r>
              <w:t>String [20]</w:t>
            </w:r>
          </w:p>
        </w:tc>
        <w:tc>
          <w:tcPr>
            <w:tcW w:w="5211" w:type="dxa"/>
            <w:shd w:val="clear" w:color="auto" w:fill="auto"/>
          </w:tcPr>
          <w:p>
            <w:pPr>
              <w:pStyle w:val="TabelleTextlinks"/>
            </w:pPr>
            <w:r>
              <w:t xml:space="preserve">Wenn das Username-Flag gesetzt ist, muss hier der Benutzername für das Login am Broker definiert werden. </w:t>
            </w:r>
          </w:p>
        </w:tc>
      </w:tr>
      <w:tr>
        <w:tc>
          <w:tcPr>
            <w:tcW w:w="1985" w:type="dxa"/>
            <w:shd w:val="clear" w:color="auto" w:fill="auto"/>
          </w:tcPr>
          <w:p>
            <w:pPr>
              <w:pStyle w:val="TabelleTextlinks"/>
            </w:pPr>
            <w:r>
              <w:t>password</w:t>
            </w:r>
          </w:p>
        </w:tc>
        <w:tc>
          <w:tcPr>
            <w:tcW w:w="1417" w:type="dxa"/>
          </w:tcPr>
          <w:p>
            <w:pPr>
              <w:pStyle w:val="TabelleTextlinks"/>
            </w:pPr>
            <w:r>
              <w:t>String [20]</w:t>
            </w:r>
          </w:p>
        </w:tc>
        <w:tc>
          <w:tcPr>
            <w:tcW w:w="5211" w:type="dxa"/>
            <w:shd w:val="clear" w:color="auto" w:fill="auto"/>
          </w:tcPr>
          <w:p>
            <w:pPr>
              <w:pStyle w:val="TabelleTextlinks"/>
            </w:pPr>
            <w:r>
              <w:t>Wenn das Passwort-Flag gesetzt ist, muss hier das Passwort für das Login am Broker definiert werden.</w:t>
            </w:r>
          </w:p>
        </w:tc>
      </w:tr>
      <w:tr>
        <w:tc>
          <w:tcPr>
            <w:tcW w:w="1985" w:type="dxa"/>
            <w:shd w:val="clear" w:color="auto" w:fill="auto"/>
          </w:tcPr>
          <w:p>
            <w:pPr>
              <w:pStyle w:val="TabelleTextlinks"/>
            </w:pPr>
            <w:r>
              <w:t>topic</w:t>
            </w:r>
          </w:p>
        </w:tc>
        <w:tc>
          <w:tcPr>
            <w:tcW w:w="1417" w:type="dxa"/>
          </w:tcPr>
          <w:p>
            <w:pPr>
              <w:pStyle w:val="TabelleTextlinks"/>
            </w:pPr>
            <w:r>
              <w:t>String [100]</w:t>
            </w:r>
          </w:p>
        </w:tc>
        <w:tc>
          <w:tcPr>
            <w:tcW w:w="5211" w:type="dxa"/>
            <w:shd w:val="clear" w:color="auto" w:fill="auto"/>
          </w:tcPr>
          <w:p>
            <w:pPr>
              <w:pStyle w:val="TabelleTextlinks"/>
            </w:pPr>
            <w:r>
              <w:t>Name für das Topic</w:t>
            </w:r>
          </w:p>
        </w:tc>
      </w:tr>
      <w:tr>
        <w:tc>
          <w:tcPr>
            <w:tcW w:w="1985" w:type="dxa"/>
            <w:shd w:val="clear" w:color="auto" w:fill="auto"/>
          </w:tcPr>
          <w:p>
            <w:pPr>
              <w:pStyle w:val="TabelleTextlinks"/>
            </w:pPr>
            <w:r>
              <w:t>message</w:t>
            </w:r>
          </w:p>
        </w:tc>
        <w:tc>
          <w:tcPr>
            <w:tcW w:w="1417" w:type="dxa"/>
          </w:tcPr>
          <w:p>
            <w:pPr>
              <w:pStyle w:val="TabelleTextlinks"/>
            </w:pPr>
            <w:r>
              <w:t>String</w:t>
            </w:r>
          </w:p>
        </w:tc>
        <w:tc>
          <w:tcPr>
            <w:tcW w:w="5211" w:type="dxa"/>
            <w:shd w:val="clear" w:color="auto" w:fill="auto"/>
          </w:tcPr>
          <w:p>
            <w:pPr>
              <w:pStyle w:val="TabelleTextlinks"/>
            </w:pPr>
            <w:r>
              <w:t>Nachrichtentext</w:t>
            </w:r>
          </w:p>
        </w:tc>
      </w:tr>
    </w:tbl>
    <w:p>
      <w:pPr>
        <w:pStyle w:val="Blocktext"/>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TabelleTextlinks"/>
              <w:rPr>
                <w:sz w:val="20"/>
              </w:rPr>
            </w:pPr>
            <w:r>
              <w:rPr>
                <w:sz w:val="20"/>
              </w:rPr>
              <w:t>Beachten Sie folgende Regelungen:</w:t>
            </w:r>
            <w:r>
              <w:rPr>
                <w:sz w:val="20"/>
              </w:rPr>
              <w:br/>
            </w:r>
          </w:p>
          <w:p>
            <w:pPr>
              <w:pStyle w:val="TabelleNummerierteListe"/>
              <w:rPr>
                <w:sz w:val="20"/>
              </w:rPr>
            </w:pPr>
            <w:r>
              <w:rPr>
                <w:sz w:val="20"/>
              </w:rPr>
              <w:t>Wenn Sie das "will"-Flag auf "true" setzen, müssen Sie bei den Variablen "willMessage" und "willTopic" eine Zeichenkette hinterlegen.</w:t>
            </w:r>
          </w:p>
          <w:p>
            <w:pPr>
              <w:pStyle w:val="TabelleNummerierteListe"/>
              <w:rPr>
                <w:sz w:val="20"/>
              </w:rPr>
            </w:pPr>
            <w:r>
              <w:rPr>
                <w:sz w:val="20"/>
              </w:rPr>
              <w:t>Wenn Sie das "will"-Flag auf "false" setzen, müssen Sie die folgenden Flags ebenfalls auf "false" setzen:</w:t>
            </w:r>
          </w:p>
          <w:p>
            <w:pPr>
              <w:pStyle w:val="TabelleBulletText2"/>
              <w:rPr>
                <w:sz w:val="20"/>
              </w:rPr>
            </w:pPr>
            <w:r>
              <w:rPr>
                <w:sz w:val="20"/>
              </w:rPr>
              <w:t>"willQoS_1"</w:t>
            </w:r>
          </w:p>
          <w:p>
            <w:pPr>
              <w:pStyle w:val="TabelleBulletText2"/>
              <w:rPr>
                <w:sz w:val="20"/>
              </w:rPr>
            </w:pPr>
            <w:r>
              <w:rPr>
                <w:sz w:val="20"/>
              </w:rPr>
              <w:t>"willQoS_2"</w:t>
            </w:r>
          </w:p>
          <w:p>
            <w:pPr>
              <w:pStyle w:val="TabelleBulletText2"/>
              <w:rPr>
                <w:sz w:val="20"/>
              </w:rPr>
            </w:pPr>
            <w:r>
              <w:rPr>
                <w:sz w:val="20"/>
              </w:rPr>
              <w:t>"willRetain"</w:t>
            </w:r>
          </w:p>
        </w:tc>
      </w:tr>
      <w:tr>
        <w:trPr>
          <w:cantSplit/>
        </w:trPr>
        <w:tc>
          <w:tcPr>
            <w:tcW w:w="1190" w:type="dxa"/>
          </w:tcPr>
          <w:p>
            <w:pPr>
              <w:pStyle w:val="CWDGraphic"/>
              <w:spacing w:before="120" w:after="120"/>
              <w:jc w:val="center"/>
              <w:rPr>
                <w:b/>
                <w:bCs/>
              </w:rPr>
            </w:pPr>
          </w:p>
        </w:tc>
        <w:tc>
          <w:tcPr>
            <w:tcW w:w="7391" w:type="dxa"/>
            <w:shd w:val="pct15" w:color="auto" w:fill="FFFFFF"/>
          </w:tcPr>
          <w:p>
            <w:pPr>
              <w:pStyle w:val="TabelleNummerierteListe"/>
              <w:rPr>
                <w:sz w:val="20"/>
              </w:rPr>
            </w:pPr>
            <w:r>
              <w:rPr>
                <w:sz w:val="20"/>
              </w:rPr>
              <w:t>Wenn Sie die Flags "username" und "passwort" auf "true" setzen, müssen Sie bei den Variablen "userName" und "passwort" eine Zeichenkette mit den Logindaten hinterlegen. Diese Logindaten müssen mit den Logindaten übereinstimmen, die Sie am MQTT-Broker hinterlegt haben.</w:t>
            </w:r>
          </w:p>
        </w:tc>
      </w:tr>
    </w:tbl>
    <w:p>
      <w:pPr>
        <w:pStyle w:val="Blocktext"/>
      </w:pPr>
    </w:p>
    <w:p>
      <w:pPr>
        <w:pStyle w:val="berschrift2"/>
        <w:pageBreakBefore/>
      </w:pPr>
      <w:bookmarkStart w:id="21" w:name="_Toc473820197"/>
      <w:bookmarkStart w:id="22" w:name="_Toc520107693"/>
      <w:r>
        <w:lastRenderedPageBreak/>
        <w:t>Integration ins Anwenderprojekt</w:t>
      </w:r>
      <w:bookmarkEnd w:id="21"/>
      <w:bookmarkEnd w:id="22"/>
    </w:p>
    <w:p>
      <w:pPr>
        <w:pStyle w:val="Blocktitel"/>
      </w:pPr>
      <w:r>
        <w:t>TIA Portal-Projekt erstellen</w:t>
      </w:r>
    </w:p>
    <w:p>
      <w:pPr>
        <w:pStyle w:val="Blocktext"/>
      </w:pPr>
      <w:r>
        <w:t>Erstellen Sie ein TIA Portal-Projekt mit der CPU, die Sie für das Anwendungsbeispiel verwenden möchten. Parametrieren Sie die Ethernet-Schnittstelle der CPU mit einer IP-Adresse, die im gleichen Subnetz wie der MQTT-Broker liegt.</w:t>
      </w:r>
    </w:p>
    <w:p>
      <w:pPr>
        <w:pStyle w:val="Blocktext"/>
      </w:pPr>
      <w:r>
        <w:t>Verbinden Sie die SIMATIC-Steuerung und den MQTT-Broker über Ethernet.</w:t>
      </w:r>
    </w:p>
    <w:p>
      <w:pPr>
        <w:pStyle w:val="Blocktitel"/>
      </w:pPr>
      <w:r>
        <w:t>Die Bausteine kopieren</w:t>
      </w:r>
    </w:p>
    <w:p>
      <w:pPr>
        <w:pStyle w:val="Blocktext"/>
      </w:pPr>
      <w:r>
        <w:t>Die Bausteine "LMqtt_Publish" und "LMqtt_Data" sowie die benötigten Datentypen stehen Ihnen in der Bibliothek "LMqtt" zur Verfügung.</w:t>
      </w:r>
    </w:p>
    <w:p>
      <w:pPr>
        <w:pStyle w:val="Blocktext"/>
      </w:pPr>
      <w:r>
        <w:t>Um die Bausteine in Ihr TIA-Projekt zu kopieren, folgen Sie dieser Anleitung:</w:t>
      </w:r>
    </w:p>
    <w:p>
      <w:pPr>
        <w:pStyle w:val="NummerierteListe"/>
      </w:pPr>
      <w:r>
        <w:t xml:space="preserve">Entpacken Sie die ZIP-Datei aus dem Downloadbereich dieses Anwendungsbeispiels (siehe \1\ im </w:t>
      </w:r>
      <w:r>
        <w:rPr>
          <w:color w:val="0000FF"/>
          <w:u w:val="single"/>
        </w:rPr>
        <w:t xml:space="preserve">Kapitel </w:t>
      </w:r>
      <w:r>
        <w:rPr>
          <w:color w:val="0000FF"/>
          <w:u w:val="single"/>
        </w:rPr>
        <w:fldChar w:fldCharType="begin"/>
      </w:r>
      <w:r>
        <w:rPr>
          <w:color w:val="0000FF"/>
          <w:u w:val="single"/>
        </w:rPr>
        <w:instrText xml:space="preserve"> REF _Ref486587574 \r \h  \* MERGEFORMAT </w:instrText>
      </w:r>
      <w:r>
        <w:rPr>
          <w:color w:val="0000FF"/>
          <w:u w:val="single"/>
        </w:rPr>
      </w:r>
      <w:r>
        <w:rPr>
          <w:color w:val="0000FF"/>
          <w:u w:val="single"/>
        </w:rPr>
        <w:fldChar w:fldCharType="separate"/>
      </w:r>
      <w:r>
        <w:rPr>
          <w:color w:val="0000FF"/>
          <w:u w:val="single"/>
        </w:rPr>
        <w:t>4.2</w:t>
      </w:r>
      <w:r>
        <w:rPr>
          <w:color w:val="0000FF"/>
          <w:u w:val="single"/>
        </w:rPr>
        <w:fldChar w:fldCharType="end"/>
      </w:r>
      <w:r>
        <w:t>) in ein lokales Verzeichnis auf Ihrem PC.</w:t>
      </w:r>
    </w:p>
    <w:p>
      <w:pPr>
        <w:pStyle w:val="NummerierteListe"/>
        <w:numPr>
          <w:ilvl w:val="0"/>
          <w:numId w:val="0"/>
        </w:numPr>
        <w:ind w:left="1495"/>
      </w:pPr>
    </w:p>
    <w:p>
      <w:pPr>
        <w:pStyle w:val="NummerierteListe"/>
      </w:pPr>
      <w:r>
        <w:t xml:space="preserve">Öffnen Sie im TIA Portal die Bibliothekansicht. Klicken Sie in der Funktionsleiste der Palette "Globale Bibliotheken" ("Global library") auf das Symbol "Globale Bibliothek öffnen" ("Open global library"). </w:t>
      </w:r>
      <w:r>
        <w:br/>
        <w:t>Der Dialog "Globale Bibliothek öffnen" ("Open global library") wird geöffnet.</w:t>
      </w:r>
    </w:p>
    <w:p>
      <w:pPr>
        <w:pStyle w:val="NummerierteListe"/>
        <w:numPr>
          <w:ilvl w:val="0"/>
          <w:numId w:val="0"/>
        </w:numPr>
      </w:pPr>
    </w:p>
    <w:p>
      <w:pPr>
        <w:pStyle w:val="NummerierteListe"/>
      </w:pPr>
      <w:r>
        <w:t>Navigieren Sie zu Ihrem Verzeichnis und wählen Sie die globale Bibliothek "LMqtt". Klicken Sie auf "Öffnen" ("Open").</w:t>
      </w:r>
    </w:p>
    <w:p>
      <w:pPr>
        <w:pStyle w:val="NummerierteListe"/>
        <w:numPr>
          <w:ilvl w:val="0"/>
          <w:numId w:val="0"/>
        </w:numPr>
      </w:pPr>
    </w:p>
    <w:p>
      <w:pPr>
        <w:pStyle w:val="NummerierteListe"/>
      </w:pPr>
      <w:r>
        <w:t>Kopieren Sie den Inhalt aus "Typen" ("Types") und aus „Kopiervorlagen“ („Master copies“) in Ihr Projekt:</w:t>
      </w:r>
    </w:p>
    <w:p>
      <w:pPr>
        <w:pStyle w:val="BildBeschriftungListenbreite1"/>
        <w:keepNext w:val="0"/>
      </w:pPr>
      <w:r>
        <w:rPr>
          <w:noProof/>
          <w:lang w:eastAsia="de-DE"/>
        </w:rPr>
        <w:drawing>
          <wp:inline distT="0" distB="0" distL="0" distR="0">
            <wp:extent cx="2028825" cy="2228850"/>
            <wp:effectExtent l="0" t="0" r="952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Unsecure_S71500_Lib.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28825" cy="2228850"/>
                    </a:xfrm>
                    <a:prstGeom prst="rect">
                      <a:avLst/>
                    </a:prstGeom>
                    <a:noFill/>
                    <a:ln>
                      <a:noFill/>
                    </a:ln>
                  </pic:spPr>
                </pic:pic>
              </a:graphicData>
            </a:graphic>
          </wp:inline>
        </w:drawing>
      </w:r>
    </w:p>
    <w:p>
      <w:pPr>
        <w:pStyle w:val="Blocktitel"/>
      </w:pPr>
      <w:r>
        <w:t>Den Funktionsbaustein aufrufen und verschalten</w:t>
      </w:r>
    </w:p>
    <w:p>
      <w:pPr>
        <w:pStyle w:val="Blocktext"/>
      </w:pPr>
      <w:r>
        <w:t>Wenn Sie die Bausteine in Ihr Projekt integriert haben, müssen Sie den Funktionsbaustein noch in Ihrem Programm aufrufen und verschalten.</w:t>
      </w:r>
    </w:p>
    <w:p>
      <w:pPr>
        <w:pStyle w:val="NummerierteListe"/>
        <w:numPr>
          <w:ilvl w:val="0"/>
          <w:numId w:val="20"/>
        </w:numPr>
      </w:pPr>
      <w:r>
        <w:t xml:space="preserve">Rufen Sie den </w:t>
      </w:r>
      <w:r>
        <w:rPr>
          <w:lang w:eastAsia="ja-JP"/>
        </w:rPr>
        <w:t>Funktionsbaustein</w:t>
      </w:r>
      <w:r>
        <w:t xml:space="preserve"> "LMqtt_Publisher" auf z. B. im OB 1 und weisen Sie ihm einen Instanzdatenbaustein zu.</w:t>
      </w:r>
    </w:p>
    <w:p>
      <w:pPr>
        <w:pStyle w:val="NummerierteListe"/>
        <w:numPr>
          <w:ilvl w:val="0"/>
          <w:numId w:val="0"/>
        </w:numPr>
        <w:ind w:left="1495"/>
      </w:pPr>
    </w:p>
    <w:p>
      <w:pPr>
        <w:pStyle w:val="NummerierteListe"/>
        <w:numPr>
          <w:ilvl w:val="0"/>
          <w:numId w:val="20"/>
        </w:numPr>
      </w:pPr>
      <w:r>
        <w:t>Verschalten Sie die Ein- bzw. Ausgangsvariablen nach Belieben. Einzig die Verschaltung der Ein- und Ausgangsvariablen ist Ihnen vorgegeben:</w:t>
      </w:r>
    </w:p>
    <w:p>
      <w:pPr>
        <w:pStyle w:val="BulletText2"/>
      </w:pPr>
      <w:r>
        <w:lastRenderedPageBreak/>
        <w:t>Ein- und Ausgangsvariable "tcpConnParam" mit "LMqtt_Data".dataTCP</w:t>
      </w:r>
    </w:p>
    <w:p>
      <w:pPr>
        <w:pStyle w:val="BulletText2"/>
      </w:pPr>
      <w:r>
        <w:t>Ein- und Ausgangsvariable "mqttParam" mit "LMqtt_Data".dataMqtt</w:t>
      </w:r>
    </w:p>
    <w:p>
      <w:pPr>
        <w:pStyle w:val="BulletText2"/>
        <w:numPr>
          <w:ilvl w:val="0"/>
          <w:numId w:val="0"/>
        </w:numPr>
        <w:ind w:left="1848" w:hanging="357"/>
      </w:pPr>
      <w:r>
        <w:rPr>
          <w:noProof/>
          <w:lang w:eastAsia="de-DE"/>
        </w:rPr>
        <w:drawing>
          <wp:inline distT="0" distB="0" distL="0" distR="0">
            <wp:extent cx="2962275" cy="2314575"/>
            <wp:effectExtent l="0" t="0" r="9525"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MQTT\Main.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62275" cy="2314575"/>
                    </a:xfrm>
                    <a:prstGeom prst="rect">
                      <a:avLst/>
                    </a:prstGeom>
                    <a:noFill/>
                    <a:ln>
                      <a:noFill/>
                    </a:ln>
                  </pic:spPr>
                </pic:pic>
              </a:graphicData>
            </a:graphic>
          </wp:inline>
        </w:drawing>
      </w:r>
    </w:p>
    <w:p>
      <w:pPr>
        <w:pStyle w:val="NummerierteListe"/>
        <w:numPr>
          <w:ilvl w:val="0"/>
          <w:numId w:val="0"/>
        </w:numPr>
        <w:ind w:left="1495"/>
      </w:pPr>
    </w:p>
    <w:p>
      <w:pPr>
        <w:pStyle w:val="berschrift2"/>
      </w:pPr>
      <w:bookmarkStart w:id="23" w:name="_Toc473820198"/>
      <w:bookmarkStart w:id="24" w:name="_Toc520107694"/>
      <w:r>
        <w:t>Parametrierung und Bedienung</w:t>
      </w:r>
      <w:bookmarkEnd w:id="23"/>
      <w:bookmarkEnd w:id="24"/>
    </w:p>
    <w:p>
      <w:pPr>
        <w:pStyle w:val="Blocktitel"/>
      </w:pPr>
      <w:r>
        <w:t>Einstellen der Parameter</w:t>
      </w:r>
    </w:p>
    <w:p>
      <w:pPr>
        <w:pStyle w:val="Blocktext"/>
      </w:pPr>
      <w:r>
        <w:t>Bevor Sie das Anwendungsbeispiel testen können, müssen Sie die Parameter für die TCP-Verbindung und für MQTT nach Ihren Vorgaben einstellen.</w:t>
      </w:r>
    </w:p>
    <w:p>
      <w:pPr>
        <w:pStyle w:val="Blocktext"/>
      </w:pPr>
      <w:r>
        <w:t>Alle Parameter, die Sie selbst definieren können, befinden sich im Datenbaustein "LMqtt-Data". Stellen Sie die Parameter in der Spalte "Startwert" ("Start value") ein.</w:t>
      </w:r>
    </w:p>
    <w:p>
      <w:pPr>
        <w:pStyle w:val="Blocktext"/>
      </w:pPr>
      <w:r>
        <w:t>Sie müssen vor allem bei folgenden Parametern Ihren eigenen Wert eintragen:</w:t>
      </w:r>
    </w:p>
    <w:p>
      <w:pPr>
        <w:pStyle w:val="BulletText1"/>
      </w:pPr>
      <w:r>
        <w:t>IPv4-Addresse bzw. der Domainname des MQTT-Brokers. Der Domainname muss mit einem "." abgeschlossen werden.</w:t>
      </w:r>
    </w:p>
    <w:p>
      <w:pPr>
        <w:pStyle w:val="BulletText1"/>
      </w:pPr>
      <w:r>
        <w:t>remote Port, auf dem der MQTT-Broker die Nachrichten empfängt</w:t>
      </w:r>
    </w:p>
    <w:p>
      <w:pPr>
        <w:pStyle w:val="BulletText1"/>
      </w:pPr>
      <w:r>
        <w:t xml:space="preserve">sämtliche MQTT-Parameter, z. B. </w:t>
      </w:r>
    </w:p>
    <w:p>
      <w:pPr>
        <w:pStyle w:val="BulletText2"/>
      </w:pPr>
      <w:r>
        <w:t>Flags für den Verbindungsaubau</w:t>
      </w:r>
    </w:p>
    <w:p>
      <w:pPr>
        <w:pStyle w:val="BulletText2"/>
      </w:pPr>
      <w:r>
        <w:t>Flags für den Versand der Nachrichten</w:t>
      </w:r>
    </w:p>
    <w:p>
      <w:pPr>
        <w:pStyle w:val="BulletText2"/>
      </w:pPr>
      <w:r>
        <w:t>Anmeldeinformationen am Broker</w:t>
      </w:r>
    </w:p>
    <w:p>
      <w:pPr>
        <w:pStyle w:val="BulletText2"/>
      </w:pPr>
      <w:r>
        <w:t>Topic</w:t>
      </w:r>
    </w:p>
    <w:p>
      <w:pPr>
        <w:pStyle w:val="BulletText2"/>
      </w:pPr>
      <w:r>
        <w:t>Nachrichtentext</w:t>
      </w:r>
    </w:p>
    <w:p>
      <w:pPr>
        <w:pStyle w:val="BulletText2"/>
        <w:numPr>
          <w:ilvl w:val="0"/>
          <w:numId w:val="0"/>
        </w:numPr>
        <w:ind w:left="1848" w:hanging="357"/>
      </w:pPr>
    </w:p>
    <w:p>
      <w:pPr>
        <w:pStyle w:val="Blocktext"/>
      </w:pPr>
      <w:r>
        <w:t>Laden Sie anschließend das Projekt in Ihre CPU.</w:t>
      </w:r>
    </w:p>
    <w:p>
      <w:pPr>
        <w:pStyle w:val="Blocktext"/>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Wenn Sie die Bibliothek "LMqttQdn" verwenden, dann müssen Sie in der CPU einen DNS-Server konfigurieren.</w:t>
            </w:r>
          </w:p>
        </w:tc>
      </w:tr>
    </w:tbl>
    <w:p>
      <w:pPr>
        <w:pStyle w:val="Blocktext"/>
      </w:pPr>
    </w:p>
    <w:p>
      <w:pPr>
        <w:pStyle w:val="Blocktext"/>
      </w:pPr>
    </w:p>
    <w:p>
      <w:pPr>
        <w:pStyle w:val="Blocktitel"/>
        <w:pageBreakBefore/>
      </w:pPr>
      <w:r>
        <w:lastRenderedPageBreak/>
        <w:t>Anwendungsbeispiel bedienen</w:t>
      </w:r>
    </w:p>
    <w:p>
      <w:pPr>
        <w:pStyle w:val="Blocktext"/>
      </w:pPr>
      <w:r>
        <w:t>Wenn Sie alle Parameter eingestellt haben, können Sie das Anwendungsbeispiel testen.</w:t>
      </w:r>
    </w:p>
    <w:p>
      <w:pPr>
        <w:pStyle w:val="Blocktext"/>
      </w:pPr>
      <w:r>
        <w:t>Bevor Sie das Anwendungsbeispiel testen, überprüfen Sie folgende Punkte:</w:t>
      </w:r>
    </w:p>
    <w:p>
      <w:pPr>
        <w:pStyle w:val="NummerierteListe"/>
        <w:numPr>
          <w:ilvl w:val="0"/>
          <w:numId w:val="19"/>
        </w:numPr>
      </w:pPr>
      <w:r>
        <w:t>das Projekt ist in die CPU geladen.</w:t>
      </w:r>
    </w:p>
    <w:p>
      <w:pPr>
        <w:pStyle w:val="NummerierteListe"/>
        <w:numPr>
          <w:ilvl w:val="0"/>
          <w:numId w:val="19"/>
        </w:numPr>
      </w:pPr>
      <w:r>
        <w:t>die CPU und der MQTT-Broker sind miteinander über Ethernet verbunden und erreichbar.</w:t>
      </w:r>
    </w:p>
    <w:p>
      <w:pPr>
        <w:pStyle w:val="NummerierteListe"/>
        <w:numPr>
          <w:ilvl w:val="0"/>
          <w:numId w:val="19"/>
        </w:numPr>
      </w:pPr>
      <w:r>
        <w:t>der MQTT-Broker ist ordnungsgemäß konfiguriert und gestartet.</w:t>
      </w:r>
    </w:p>
    <w:p>
      <w:pPr>
        <w:pStyle w:val="NummerierteListe"/>
        <w:numPr>
          <w:ilvl w:val="0"/>
          <w:numId w:val="19"/>
        </w:numPr>
      </w:pPr>
      <w:r>
        <w:t>das Logging am MQTT-Broker ist bei Bedarf gestartet, um die Anmeldung des MQTT-Clients und den Publish-Mechanismus mitzuversorgen.</w:t>
      </w:r>
    </w:p>
    <w:p>
      <w:pPr>
        <w:pStyle w:val="Blocktext"/>
      </w:pPr>
      <w:r>
        <w:t xml:space="preserve">Wenn die genannten Punkte erfüllt sind, können Sie die MQTT-Kommunikation zwischen CPU und MQTT-Broker anstoßen. Setzen Sie die Variable "enable" am </w:t>
      </w:r>
      <w:r>
        <w:rPr>
          <w:lang w:eastAsia="ja-JP"/>
        </w:rPr>
        <w:t>Funktionsbaustein</w:t>
      </w:r>
      <w:r>
        <w:t xml:space="preserve"> "LMqtt_Publisher" auf das Signal „1“.</w:t>
      </w:r>
    </w:p>
    <w:p>
      <w:pPr>
        <w:pStyle w:val="Blocktext"/>
      </w:pPr>
      <w:r>
        <w:t>Im positiven Fall werden die internen Zustandsautomaten durchlaufen und stellen eine TCP- bzw. MQTT-Verbindung zum MQTT-Broker her. Die Ausgangsvariablen "tcpConnected" und "mqttConnected" werden gesetzt und signalisieren eine bestehende TCP- bzw. MQTT-Verbindung.</w:t>
      </w:r>
    </w:p>
    <w:p>
      <w:pPr>
        <w:pStyle w:val="Blocktext"/>
      </w:pPr>
      <w:r>
        <w:t>Nun können Sie eine MQTT-Nachricht senden. Triggern Sie dafür die Eingangsvariable "publish".</w:t>
      </w:r>
    </w:p>
    <w:p>
      <w:pPr>
        <w:pStyle w:val="Blocktext"/>
      </w:pPr>
      <w:r>
        <w:t xml:space="preserve">Wenn die Verbindung zum MQTT-Broker nicht aufgebaut wird, überprüfen Sie die Ausgangsvariable "status" und "statusID", um den Fehler zu diagnostizieren. Welche Bedeutung die Werte der beiden Variablen haben, finden Sie im </w:t>
      </w:r>
      <w:r>
        <w:rPr>
          <w:color w:val="0000FF"/>
          <w:u w:val="single"/>
        </w:rPr>
        <w:t>Kapitel </w:t>
      </w:r>
      <w:r>
        <w:rPr>
          <w:color w:val="0000FF"/>
          <w:u w:val="single"/>
        </w:rPr>
        <w:fldChar w:fldCharType="begin"/>
      </w:r>
      <w:r>
        <w:rPr>
          <w:color w:val="0000FF"/>
          <w:u w:val="single"/>
        </w:rPr>
        <w:instrText xml:space="preserve"> REF _Ref486586857 \r \h  \* MERGEFORMAT </w:instrText>
      </w:r>
      <w:r>
        <w:rPr>
          <w:color w:val="0000FF"/>
          <w:u w:val="single"/>
        </w:rPr>
      </w:r>
      <w:r>
        <w:rPr>
          <w:color w:val="0000FF"/>
          <w:u w:val="single"/>
        </w:rPr>
        <w:fldChar w:fldCharType="separate"/>
      </w:r>
      <w:r>
        <w:rPr>
          <w:color w:val="0000FF"/>
          <w:u w:val="single"/>
        </w:rPr>
        <w:t>2.4</w:t>
      </w:r>
      <w:r>
        <w:rPr>
          <w:color w:val="0000FF"/>
          <w:u w:val="single"/>
        </w:rPr>
        <w:fldChar w:fldCharType="end"/>
      </w:r>
      <w:r>
        <w:t>.</w:t>
      </w:r>
    </w:p>
    <w:p>
      <w:pPr>
        <w:pStyle w:val="berschrift2"/>
        <w:pageBreakBefore/>
      </w:pPr>
      <w:bookmarkStart w:id="25" w:name="_Toc473820199"/>
      <w:bookmarkStart w:id="26" w:name="_Ref486586857"/>
      <w:bookmarkStart w:id="27" w:name="_Toc520107695"/>
      <w:r>
        <w:lastRenderedPageBreak/>
        <w:t>Fehlerhandling</w:t>
      </w:r>
      <w:bookmarkEnd w:id="25"/>
      <w:bookmarkEnd w:id="26"/>
      <w:bookmarkEnd w:id="27"/>
    </w:p>
    <w:p>
      <w:pPr>
        <w:pStyle w:val="Blocktext"/>
      </w:pPr>
      <w:r>
        <w:t xml:space="preserve">Wenn ein Fehler im Programm auftritt, wird der aktuelle Zustand der Zustandsautomaten und die Fehlerursache in den Ausgangsparametern "statusID" und "status" geschrieben. </w:t>
      </w:r>
    </w:p>
    <w:p>
      <w:pPr>
        <w:pStyle w:val="Blocktitel"/>
      </w:pPr>
      <w:r>
        <w:t>"statusID"</w:t>
      </w:r>
    </w:p>
    <w:p>
      <w:pPr>
        <w:pStyle w:val="Blocktext"/>
      </w:pPr>
      <w:r>
        <w:t>Am Ausgang "statusID" wird die Nummer des Zustand ausgegeben, in dem der Fehler aufgetreten ist. Die Zustände sind durchnummeriert und haben folgende Bedeutung.</w:t>
      </w:r>
    </w:p>
    <w:p>
      <w:pPr>
        <w:pStyle w:val="TabellenBeschriftungTextBreite"/>
      </w:pPr>
      <w:r>
        <w:t>Tabelle </w:t>
      </w:r>
      <w:fldSimple w:instr=" STYLEREF 1 \s  \* MERGEFORMAT ">
        <w:r>
          <w:rPr>
            <w:noProof/>
          </w:rPr>
          <w:t>2</w:t>
        </w:r>
      </w:fldSimple>
      <w:r>
        <w:t>-</w:t>
      </w:r>
      <w:fldSimple w:instr=" SEQ Tabelle \* Arabic \s 1  \* MERGEFORMAT ">
        <w:r>
          <w:rPr>
            <w:noProof/>
          </w:rPr>
          <w:t>8</w:t>
        </w:r>
      </w:fldSimple>
    </w:p>
    <w:tbl>
      <w:tblPr>
        <w:tblStyle w:val="Tabellenraster"/>
        <w:tblW w:w="7508" w:type="dxa"/>
        <w:tblInd w:w="1247" w:type="dxa"/>
        <w:tblLook w:val="04A0" w:firstRow="1" w:lastRow="0" w:firstColumn="1" w:lastColumn="0" w:noHBand="0" w:noVBand="1"/>
      </w:tblPr>
      <w:tblGrid>
        <w:gridCol w:w="2122"/>
        <w:gridCol w:w="5386"/>
      </w:tblGrid>
      <w:tr>
        <w:trPr>
          <w:tblHeader/>
        </w:trPr>
        <w:tc>
          <w:tcPr>
            <w:tcW w:w="2122" w:type="dxa"/>
            <w:tcBorders>
              <w:bottom w:val="single" w:sz="12" w:space="0" w:color="auto"/>
            </w:tcBorders>
            <w:shd w:val="clear" w:color="auto" w:fill="E6E6E6"/>
          </w:tcPr>
          <w:p>
            <w:pPr>
              <w:pStyle w:val="TabelleKopfzentriert"/>
            </w:pPr>
            <w:r>
              <w:t>Wert</w:t>
            </w:r>
          </w:p>
        </w:tc>
        <w:tc>
          <w:tcPr>
            <w:tcW w:w="5386" w:type="dxa"/>
            <w:tcBorders>
              <w:bottom w:val="single" w:sz="12" w:space="0" w:color="auto"/>
            </w:tcBorders>
            <w:shd w:val="clear" w:color="auto" w:fill="E6E6E6"/>
          </w:tcPr>
          <w:p>
            <w:pPr>
              <w:pStyle w:val="TabelleKopfzentriert"/>
            </w:pPr>
            <w:r>
              <w:t>Beschreibung</w:t>
            </w:r>
          </w:p>
        </w:tc>
      </w:tr>
      <w:tr>
        <w:tc>
          <w:tcPr>
            <w:tcW w:w="2122" w:type="dxa"/>
            <w:tcBorders>
              <w:top w:val="single" w:sz="12" w:space="0" w:color="auto"/>
            </w:tcBorders>
            <w:shd w:val="clear" w:color="auto" w:fill="auto"/>
          </w:tcPr>
          <w:p>
            <w:pPr>
              <w:pStyle w:val="TabelleTextlinks"/>
              <w:keepNext/>
            </w:pPr>
            <w:r>
              <w:t>-12</w:t>
            </w:r>
          </w:p>
        </w:tc>
        <w:tc>
          <w:tcPr>
            <w:tcW w:w="5386" w:type="dxa"/>
            <w:tcBorders>
              <w:top w:val="single" w:sz="12" w:space="0" w:color="auto"/>
            </w:tcBorders>
            <w:shd w:val="clear" w:color="auto" w:fill="auto"/>
          </w:tcPr>
          <w:p>
            <w:pPr>
              <w:pStyle w:val="TabelleTextlinks"/>
            </w:pPr>
            <w:r>
              <w:t>MQTT_ERROR</w:t>
            </w:r>
          </w:p>
        </w:tc>
      </w:tr>
      <w:tr>
        <w:tc>
          <w:tcPr>
            <w:tcW w:w="2122" w:type="dxa"/>
            <w:shd w:val="clear" w:color="auto" w:fill="auto"/>
          </w:tcPr>
          <w:p>
            <w:pPr>
              <w:pStyle w:val="TabelleTextlinks"/>
            </w:pPr>
            <w:r>
              <w:t>-11</w:t>
            </w:r>
          </w:p>
        </w:tc>
        <w:tc>
          <w:tcPr>
            <w:tcW w:w="5386" w:type="dxa"/>
            <w:shd w:val="clear" w:color="auto" w:fill="auto"/>
          </w:tcPr>
          <w:p>
            <w:pPr>
              <w:pStyle w:val="TabelleTextlinks"/>
            </w:pPr>
            <w:r>
              <w:t>MQTT_DISCONNECTED</w:t>
            </w:r>
          </w:p>
        </w:tc>
      </w:tr>
      <w:tr>
        <w:tc>
          <w:tcPr>
            <w:tcW w:w="2122" w:type="dxa"/>
            <w:shd w:val="clear" w:color="auto" w:fill="auto"/>
          </w:tcPr>
          <w:p>
            <w:pPr>
              <w:pStyle w:val="TabelleTextlinks"/>
            </w:pPr>
            <w:r>
              <w:t>-2</w:t>
            </w:r>
          </w:p>
        </w:tc>
        <w:tc>
          <w:tcPr>
            <w:tcW w:w="5386" w:type="dxa"/>
            <w:shd w:val="clear" w:color="auto" w:fill="auto"/>
          </w:tcPr>
          <w:p>
            <w:pPr>
              <w:pStyle w:val="TabelleTextlinks"/>
            </w:pPr>
            <w:r>
              <w:t>TCP_ERROR</w:t>
            </w:r>
          </w:p>
        </w:tc>
      </w:tr>
      <w:tr>
        <w:tc>
          <w:tcPr>
            <w:tcW w:w="2122" w:type="dxa"/>
            <w:shd w:val="clear" w:color="auto" w:fill="auto"/>
          </w:tcPr>
          <w:p>
            <w:pPr>
              <w:pStyle w:val="TabelleTextlinks"/>
            </w:pPr>
            <w:r>
              <w:t>-1</w:t>
            </w:r>
          </w:p>
        </w:tc>
        <w:tc>
          <w:tcPr>
            <w:tcW w:w="5386" w:type="dxa"/>
            <w:shd w:val="clear" w:color="auto" w:fill="auto"/>
          </w:tcPr>
          <w:p>
            <w:pPr>
              <w:pStyle w:val="TabelleTextlinks"/>
            </w:pPr>
            <w:r>
              <w:t>TCP_DISCONNECT</w:t>
            </w:r>
          </w:p>
        </w:tc>
      </w:tr>
      <w:tr>
        <w:tc>
          <w:tcPr>
            <w:tcW w:w="2122" w:type="dxa"/>
            <w:shd w:val="clear" w:color="auto" w:fill="auto"/>
          </w:tcPr>
          <w:p>
            <w:pPr>
              <w:pStyle w:val="TabelleTextlinks"/>
            </w:pPr>
            <w:r>
              <w:t>0</w:t>
            </w:r>
          </w:p>
        </w:tc>
        <w:tc>
          <w:tcPr>
            <w:tcW w:w="5386" w:type="dxa"/>
            <w:shd w:val="clear" w:color="auto" w:fill="auto"/>
          </w:tcPr>
          <w:p>
            <w:pPr>
              <w:pStyle w:val="TabelleTextlinks"/>
            </w:pPr>
            <w:r>
              <w:t>IDLE</w:t>
            </w:r>
          </w:p>
        </w:tc>
      </w:tr>
      <w:tr>
        <w:tc>
          <w:tcPr>
            <w:tcW w:w="2122" w:type="dxa"/>
            <w:shd w:val="clear" w:color="auto" w:fill="auto"/>
          </w:tcPr>
          <w:p>
            <w:pPr>
              <w:pStyle w:val="TabelleTextlinks"/>
            </w:pPr>
            <w:r>
              <w:t>1</w:t>
            </w:r>
          </w:p>
        </w:tc>
        <w:tc>
          <w:tcPr>
            <w:tcW w:w="5386" w:type="dxa"/>
            <w:shd w:val="clear" w:color="auto" w:fill="auto"/>
          </w:tcPr>
          <w:p>
            <w:pPr>
              <w:pStyle w:val="TabelleTextlinks"/>
            </w:pPr>
            <w:r>
              <w:t>TCP_PARAM</w:t>
            </w:r>
          </w:p>
        </w:tc>
      </w:tr>
      <w:tr>
        <w:tc>
          <w:tcPr>
            <w:tcW w:w="2122" w:type="dxa"/>
            <w:shd w:val="clear" w:color="auto" w:fill="auto"/>
          </w:tcPr>
          <w:p>
            <w:pPr>
              <w:pStyle w:val="TabelleTextlinks"/>
            </w:pPr>
            <w:r>
              <w:t>2</w:t>
            </w:r>
          </w:p>
        </w:tc>
        <w:tc>
          <w:tcPr>
            <w:tcW w:w="5386" w:type="dxa"/>
            <w:shd w:val="clear" w:color="auto" w:fill="auto"/>
          </w:tcPr>
          <w:p>
            <w:pPr>
              <w:pStyle w:val="TabelleTextlinks"/>
            </w:pPr>
            <w:r>
              <w:t>TCP_CONNECTING</w:t>
            </w:r>
          </w:p>
        </w:tc>
      </w:tr>
      <w:tr>
        <w:tc>
          <w:tcPr>
            <w:tcW w:w="2122" w:type="dxa"/>
            <w:shd w:val="clear" w:color="auto" w:fill="auto"/>
          </w:tcPr>
          <w:p>
            <w:pPr>
              <w:pStyle w:val="TabelleTextlinks"/>
            </w:pPr>
            <w:r>
              <w:t>3</w:t>
            </w:r>
          </w:p>
        </w:tc>
        <w:tc>
          <w:tcPr>
            <w:tcW w:w="5386" w:type="dxa"/>
            <w:shd w:val="clear" w:color="auto" w:fill="auto"/>
          </w:tcPr>
          <w:p>
            <w:pPr>
              <w:pStyle w:val="TabelleTextlinks"/>
            </w:pPr>
            <w:r>
              <w:t>TCP_CONNECTED</w:t>
            </w:r>
          </w:p>
        </w:tc>
      </w:tr>
      <w:tr>
        <w:tc>
          <w:tcPr>
            <w:tcW w:w="2122" w:type="dxa"/>
            <w:shd w:val="clear" w:color="auto" w:fill="auto"/>
          </w:tcPr>
          <w:p>
            <w:pPr>
              <w:pStyle w:val="TabelleTextlinks"/>
            </w:pPr>
            <w:r>
              <w:t>10</w:t>
            </w:r>
          </w:p>
        </w:tc>
        <w:tc>
          <w:tcPr>
            <w:tcW w:w="5386" w:type="dxa"/>
            <w:shd w:val="clear" w:color="auto" w:fill="auto"/>
          </w:tcPr>
          <w:p>
            <w:pPr>
              <w:pStyle w:val="TabelleTextlinks"/>
            </w:pPr>
            <w:r>
              <w:t>MQTT_CONNECT_FLAG_CHECK</w:t>
            </w:r>
          </w:p>
        </w:tc>
      </w:tr>
      <w:tr>
        <w:tc>
          <w:tcPr>
            <w:tcW w:w="2122" w:type="dxa"/>
            <w:shd w:val="clear" w:color="auto" w:fill="auto"/>
          </w:tcPr>
          <w:p>
            <w:pPr>
              <w:pStyle w:val="TabelleTextlinks"/>
            </w:pPr>
            <w:r>
              <w:t>11</w:t>
            </w:r>
          </w:p>
        </w:tc>
        <w:tc>
          <w:tcPr>
            <w:tcW w:w="5386" w:type="dxa"/>
            <w:shd w:val="clear" w:color="auto" w:fill="auto"/>
          </w:tcPr>
          <w:p>
            <w:pPr>
              <w:pStyle w:val="TabelleTextlinks"/>
            </w:pPr>
            <w:r>
              <w:t>MQTT_CONNECT</w:t>
            </w:r>
          </w:p>
        </w:tc>
      </w:tr>
      <w:tr>
        <w:tc>
          <w:tcPr>
            <w:tcW w:w="2122" w:type="dxa"/>
            <w:shd w:val="clear" w:color="auto" w:fill="auto"/>
          </w:tcPr>
          <w:p>
            <w:pPr>
              <w:pStyle w:val="TabelleTextlinks"/>
            </w:pPr>
            <w:r>
              <w:t>12</w:t>
            </w:r>
          </w:p>
        </w:tc>
        <w:tc>
          <w:tcPr>
            <w:tcW w:w="5386" w:type="dxa"/>
            <w:shd w:val="clear" w:color="auto" w:fill="auto"/>
          </w:tcPr>
          <w:p>
            <w:pPr>
              <w:pStyle w:val="TabelleTextlinks"/>
            </w:pPr>
            <w:r>
              <w:t>MQTT_CONNACK</w:t>
            </w:r>
          </w:p>
        </w:tc>
      </w:tr>
      <w:tr>
        <w:tc>
          <w:tcPr>
            <w:tcW w:w="2122" w:type="dxa"/>
            <w:shd w:val="clear" w:color="auto" w:fill="auto"/>
          </w:tcPr>
          <w:p>
            <w:pPr>
              <w:pStyle w:val="TabelleTextlinks"/>
            </w:pPr>
            <w:r>
              <w:t>13</w:t>
            </w:r>
          </w:p>
        </w:tc>
        <w:tc>
          <w:tcPr>
            <w:tcW w:w="5386" w:type="dxa"/>
            <w:shd w:val="clear" w:color="auto" w:fill="auto"/>
          </w:tcPr>
          <w:p>
            <w:pPr>
              <w:pStyle w:val="TabelleTextlinks"/>
            </w:pPr>
            <w:r>
              <w:t>MQTT_PUBLISH</w:t>
            </w:r>
          </w:p>
        </w:tc>
      </w:tr>
      <w:tr>
        <w:tc>
          <w:tcPr>
            <w:tcW w:w="2122" w:type="dxa"/>
            <w:shd w:val="clear" w:color="auto" w:fill="auto"/>
          </w:tcPr>
          <w:p>
            <w:pPr>
              <w:pStyle w:val="TabelleTextlinks"/>
            </w:pPr>
            <w:r>
              <w:t>14</w:t>
            </w:r>
          </w:p>
        </w:tc>
        <w:tc>
          <w:tcPr>
            <w:tcW w:w="5386" w:type="dxa"/>
            <w:shd w:val="clear" w:color="auto" w:fill="auto"/>
          </w:tcPr>
          <w:p>
            <w:pPr>
              <w:pStyle w:val="TabelleTextlinks"/>
            </w:pPr>
            <w:r>
              <w:t>MQTT_PUBACK</w:t>
            </w:r>
          </w:p>
        </w:tc>
      </w:tr>
      <w:tr>
        <w:tc>
          <w:tcPr>
            <w:tcW w:w="2122" w:type="dxa"/>
            <w:shd w:val="clear" w:color="auto" w:fill="auto"/>
          </w:tcPr>
          <w:p>
            <w:pPr>
              <w:pStyle w:val="TabelleTextlinks"/>
            </w:pPr>
            <w:r>
              <w:t>15</w:t>
            </w:r>
          </w:p>
        </w:tc>
        <w:tc>
          <w:tcPr>
            <w:tcW w:w="5386" w:type="dxa"/>
            <w:shd w:val="clear" w:color="auto" w:fill="auto"/>
          </w:tcPr>
          <w:p>
            <w:pPr>
              <w:pStyle w:val="TabelleTextlinks"/>
            </w:pPr>
            <w:r>
              <w:t>MQTT_DISCONNECT</w:t>
            </w:r>
          </w:p>
        </w:tc>
      </w:tr>
      <w:tr>
        <w:tc>
          <w:tcPr>
            <w:tcW w:w="2122" w:type="dxa"/>
            <w:shd w:val="clear" w:color="auto" w:fill="auto"/>
          </w:tcPr>
          <w:p>
            <w:pPr>
              <w:pStyle w:val="TabelleTextlinks"/>
            </w:pPr>
            <w:r>
              <w:t>16</w:t>
            </w:r>
          </w:p>
        </w:tc>
        <w:tc>
          <w:tcPr>
            <w:tcW w:w="5386" w:type="dxa"/>
            <w:shd w:val="clear" w:color="auto" w:fill="auto"/>
          </w:tcPr>
          <w:p>
            <w:pPr>
              <w:pStyle w:val="TabelleTextlinks"/>
            </w:pPr>
            <w:r>
              <w:t>MQTT_CONNECTED</w:t>
            </w:r>
          </w:p>
        </w:tc>
      </w:tr>
      <w:tr>
        <w:tc>
          <w:tcPr>
            <w:tcW w:w="2122" w:type="dxa"/>
            <w:shd w:val="clear" w:color="auto" w:fill="auto"/>
          </w:tcPr>
          <w:p>
            <w:pPr>
              <w:pStyle w:val="TabelleTextlinks"/>
            </w:pPr>
            <w:r>
              <w:t>17</w:t>
            </w:r>
          </w:p>
        </w:tc>
        <w:tc>
          <w:tcPr>
            <w:tcW w:w="5386" w:type="dxa"/>
            <w:shd w:val="clear" w:color="auto" w:fill="auto"/>
          </w:tcPr>
          <w:p>
            <w:pPr>
              <w:pStyle w:val="TabelleTextlinks"/>
            </w:pPr>
            <w:r>
              <w:t>MQTT_PING</w:t>
            </w:r>
          </w:p>
        </w:tc>
      </w:tr>
      <w:tr>
        <w:tc>
          <w:tcPr>
            <w:tcW w:w="2122" w:type="dxa"/>
            <w:shd w:val="clear" w:color="auto" w:fill="auto"/>
          </w:tcPr>
          <w:p>
            <w:pPr>
              <w:pStyle w:val="TabelleTextlinks"/>
            </w:pPr>
            <w:r>
              <w:t>18</w:t>
            </w:r>
          </w:p>
        </w:tc>
        <w:tc>
          <w:tcPr>
            <w:tcW w:w="5386" w:type="dxa"/>
            <w:shd w:val="clear" w:color="auto" w:fill="auto"/>
          </w:tcPr>
          <w:p>
            <w:pPr>
              <w:pStyle w:val="TabelleTextlinks"/>
            </w:pPr>
            <w:r>
              <w:t>MQTT_PINGRESP</w:t>
            </w:r>
          </w:p>
        </w:tc>
      </w:tr>
      <w:tr>
        <w:tc>
          <w:tcPr>
            <w:tcW w:w="2122" w:type="dxa"/>
            <w:shd w:val="clear" w:color="auto" w:fill="auto"/>
          </w:tcPr>
          <w:p>
            <w:pPr>
              <w:pStyle w:val="TabelleTextlinks"/>
            </w:pPr>
            <w:r>
              <w:t>19</w:t>
            </w:r>
          </w:p>
        </w:tc>
        <w:tc>
          <w:tcPr>
            <w:tcW w:w="5386" w:type="dxa"/>
            <w:shd w:val="clear" w:color="auto" w:fill="auto"/>
          </w:tcPr>
          <w:p>
            <w:pPr>
              <w:pStyle w:val="TabelleTextlinks"/>
            </w:pPr>
            <w:r>
              <w:t>MQTT_PUBREL</w:t>
            </w:r>
          </w:p>
        </w:tc>
      </w:tr>
      <w:tr>
        <w:tc>
          <w:tcPr>
            <w:tcW w:w="2122" w:type="dxa"/>
            <w:shd w:val="clear" w:color="auto" w:fill="auto"/>
          </w:tcPr>
          <w:p>
            <w:pPr>
              <w:pStyle w:val="TabelleTextlinks"/>
            </w:pPr>
            <w:r>
              <w:t>20</w:t>
            </w:r>
          </w:p>
        </w:tc>
        <w:tc>
          <w:tcPr>
            <w:tcW w:w="5386" w:type="dxa"/>
            <w:shd w:val="clear" w:color="auto" w:fill="auto"/>
          </w:tcPr>
          <w:p>
            <w:pPr>
              <w:pStyle w:val="TabelleTextlinks"/>
            </w:pPr>
            <w:r>
              <w:t>MQTT_PUBCOMP</w:t>
            </w:r>
          </w:p>
        </w:tc>
      </w:tr>
      <w:tr>
        <w:tc>
          <w:tcPr>
            <w:tcW w:w="2122" w:type="dxa"/>
            <w:shd w:val="clear" w:color="auto" w:fill="auto"/>
          </w:tcPr>
          <w:p>
            <w:pPr>
              <w:pStyle w:val="TabelleTextlinks"/>
            </w:pPr>
            <w:r>
              <w:t>20</w:t>
            </w:r>
          </w:p>
        </w:tc>
        <w:tc>
          <w:tcPr>
            <w:tcW w:w="5386" w:type="dxa"/>
            <w:shd w:val="clear" w:color="auto" w:fill="auto"/>
          </w:tcPr>
          <w:p>
            <w:pPr>
              <w:pStyle w:val="TabelleTextlinks"/>
            </w:pPr>
            <w:r>
              <w:t>TIME_MONITORING</w:t>
            </w:r>
          </w:p>
        </w:tc>
      </w:tr>
    </w:tbl>
    <w:p>
      <w:pPr>
        <w:pStyle w:val="Blocktitel"/>
        <w:pageBreakBefore/>
      </w:pPr>
      <w:r>
        <w:lastRenderedPageBreak/>
        <w:t>"status"</w:t>
      </w:r>
    </w:p>
    <w:p>
      <w:pPr>
        <w:pStyle w:val="Blocktext"/>
      </w:pPr>
      <w:r>
        <w:t>Der Ausgangsparameter "status" zeigt den Fehlercode an:</w:t>
      </w:r>
    </w:p>
    <w:p>
      <w:pPr>
        <w:pStyle w:val="TabellenBeschriftungTextBreite"/>
      </w:pPr>
      <w:r>
        <w:t>Tabelle </w:t>
      </w:r>
      <w:fldSimple w:instr=" STYLEREF 1 \s  \* MERGEFORMAT ">
        <w:r>
          <w:rPr>
            <w:noProof/>
          </w:rPr>
          <w:t>2</w:t>
        </w:r>
      </w:fldSimple>
      <w:r>
        <w:t>-</w:t>
      </w:r>
      <w:fldSimple w:instr=" SEQ Tabelle \* Arabic \s 1  \* MERGEFORMAT ">
        <w:r>
          <w:rPr>
            <w:noProof/>
          </w:rPr>
          <w:t>9</w:t>
        </w:r>
      </w:fldSimple>
    </w:p>
    <w:tbl>
      <w:tblPr>
        <w:tblStyle w:val="Tabellenraster"/>
        <w:tblW w:w="7474" w:type="dxa"/>
        <w:tblInd w:w="1247" w:type="dxa"/>
        <w:tblLook w:val="04A0" w:firstRow="1" w:lastRow="0" w:firstColumn="1" w:lastColumn="0" w:noHBand="0" w:noVBand="1"/>
      </w:tblPr>
      <w:tblGrid>
        <w:gridCol w:w="992"/>
        <w:gridCol w:w="2157"/>
        <w:gridCol w:w="2188"/>
        <w:gridCol w:w="2137"/>
      </w:tblGrid>
      <w:tr>
        <w:trPr>
          <w:tblHeader/>
        </w:trPr>
        <w:tc>
          <w:tcPr>
            <w:tcW w:w="992" w:type="dxa"/>
            <w:tcBorders>
              <w:bottom w:val="single" w:sz="12" w:space="0" w:color="auto"/>
            </w:tcBorders>
            <w:shd w:val="clear" w:color="auto" w:fill="E6E6E6"/>
          </w:tcPr>
          <w:p>
            <w:pPr>
              <w:pStyle w:val="TabelleKopfzentriert"/>
            </w:pPr>
            <w:r>
              <w:t>statusID</w:t>
            </w:r>
          </w:p>
        </w:tc>
        <w:tc>
          <w:tcPr>
            <w:tcW w:w="2157" w:type="dxa"/>
            <w:tcBorders>
              <w:bottom w:val="single" w:sz="12" w:space="0" w:color="auto"/>
            </w:tcBorders>
            <w:shd w:val="clear" w:color="auto" w:fill="E6E6E6"/>
          </w:tcPr>
          <w:p>
            <w:pPr>
              <w:pStyle w:val="TabelleKopfzentriert"/>
            </w:pPr>
            <w:r>
              <w:t>status</w:t>
            </w:r>
          </w:p>
        </w:tc>
        <w:tc>
          <w:tcPr>
            <w:tcW w:w="2188" w:type="dxa"/>
            <w:tcBorders>
              <w:bottom w:val="single" w:sz="12" w:space="0" w:color="auto"/>
            </w:tcBorders>
            <w:shd w:val="clear" w:color="auto" w:fill="E6E6E6"/>
          </w:tcPr>
          <w:p>
            <w:pPr>
              <w:pStyle w:val="TabelleKopfzentriert"/>
            </w:pPr>
            <w:r>
              <w:t>Beschreibung</w:t>
            </w:r>
          </w:p>
        </w:tc>
        <w:tc>
          <w:tcPr>
            <w:tcW w:w="2137" w:type="dxa"/>
            <w:tcBorders>
              <w:bottom w:val="single" w:sz="12" w:space="0" w:color="auto"/>
            </w:tcBorders>
            <w:shd w:val="clear" w:color="auto" w:fill="E6E6E6"/>
          </w:tcPr>
          <w:p>
            <w:pPr>
              <w:pStyle w:val="TabelleKopfzentriert"/>
            </w:pPr>
            <w:r>
              <w:t>Abhilfe</w:t>
            </w:r>
          </w:p>
        </w:tc>
      </w:tr>
      <w:tr>
        <w:tc>
          <w:tcPr>
            <w:tcW w:w="992" w:type="dxa"/>
            <w:shd w:val="clear" w:color="auto" w:fill="auto"/>
          </w:tcPr>
          <w:p>
            <w:pPr>
              <w:pStyle w:val="TabelleTextlinks"/>
            </w:pPr>
            <w:r>
              <w:t>-1</w:t>
            </w:r>
          </w:p>
        </w:tc>
        <w:tc>
          <w:tcPr>
            <w:tcW w:w="2157" w:type="dxa"/>
            <w:shd w:val="clear" w:color="auto" w:fill="auto"/>
          </w:tcPr>
          <w:p>
            <w:pPr>
              <w:pStyle w:val="TabelleTextlinks"/>
            </w:pPr>
            <w:r>
              <w:t>Statusmeldung vom Baustein „TDISCON“</w:t>
            </w:r>
          </w:p>
        </w:tc>
        <w:tc>
          <w:tcPr>
            <w:tcW w:w="2188" w:type="dxa"/>
          </w:tcPr>
          <w:p>
            <w:pPr>
              <w:pStyle w:val="TabelleTextlinks"/>
            </w:pPr>
            <w:r>
              <w:t>Siehe Handbuch</w:t>
            </w:r>
          </w:p>
        </w:tc>
        <w:tc>
          <w:tcPr>
            <w:tcW w:w="2137" w:type="dxa"/>
          </w:tcPr>
          <w:p>
            <w:pPr>
              <w:pStyle w:val="TabelleTextlinks"/>
            </w:pPr>
            <w:r>
              <w:t>-</w:t>
            </w:r>
          </w:p>
        </w:tc>
      </w:tr>
      <w:tr>
        <w:tc>
          <w:tcPr>
            <w:tcW w:w="992" w:type="dxa"/>
            <w:shd w:val="clear" w:color="auto" w:fill="auto"/>
          </w:tcPr>
          <w:p>
            <w:pPr>
              <w:pStyle w:val="TabelleTextlinks"/>
            </w:pPr>
            <w:r>
              <w:t>2</w:t>
            </w:r>
          </w:p>
        </w:tc>
        <w:tc>
          <w:tcPr>
            <w:tcW w:w="2157" w:type="dxa"/>
            <w:shd w:val="clear" w:color="auto" w:fill="auto"/>
          </w:tcPr>
          <w:p>
            <w:pPr>
              <w:pStyle w:val="TabelleTextlinks"/>
            </w:pPr>
            <w:r>
              <w:t>Statusmeldung vom Baustein „TCON“</w:t>
            </w:r>
          </w:p>
        </w:tc>
        <w:tc>
          <w:tcPr>
            <w:tcW w:w="2188" w:type="dxa"/>
          </w:tcPr>
          <w:p>
            <w:pPr>
              <w:pStyle w:val="TabelleTextlinks"/>
            </w:pPr>
            <w:r>
              <w:t>Siehe Handbuch</w:t>
            </w:r>
          </w:p>
        </w:tc>
        <w:tc>
          <w:tcPr>
            <w:tcW w:w="2137" w:type="dxa"/>
          </w:tcPr>
          <w:p>
            <w:pPr>
              <w:pStyle w:val="TabelleTextlinks"/>
            </w:pPr>
            <w:r>
              <w:t>Erreichbarkeit des Brokers prüfen.</w:t>
            </w:r>
            <w:r>
              <w:br/>
              <w:t>IP-Adresse, Port, Firewall</w:t>
            </w:r>
          </w:p>
        </w:tc>
      </w:tr>
      <w:tr>
        <w:tc>
          <w:tcPr>
            <w:tcW w:w="992" w:type="dxa"/>
            <w:shd w:val="clear" w:color="auto" w:fill="auto"/>
          </w:tcPr>
          <w:p>
            <w:pPr>
              <w:pStyle w:val="TabelleTextlinks"/>
            </w:pPr>
            <w:r>
              <w:t>3</w:t>
            </w:r>
          </w:p>
        </w:tc>
        <w:tc>
          <w:tcPr>
            <w:tcW w:w="2157" w:type="dxa"/>
            <w:shd w:val="clear" w:color="auto" w:fill="auto"/>
          </w:tcPr>
          <w:p>
            <w:pPr>
              <w:pStyle w:val="TabelleTextlinks"/>
            </w:pPr>
            <w:r>
              <w:t>Statusmeldung vom Baustein „TRCV“</w:t>
            </w:r>
          </w:p>
        </w:tc>
        <w:tc>
          <w:tcPr>
            <w:tcW w:w="2188" w:type="dxa"/>
          </w:tcPr>
          <w:p>
            <w:pPr>
              <w:pStyle w:val="TabelleTextlinks"/>
            </w:pPr>
            <w:r>
              <w:t>Siehe Handbuch</w:t>
            </w:r>
          </w:p>
        </w:tc>
        <w:tc>
          <w:tcPr>
            <w:tcW w:w="2137" w:type="dxa"/>
          </w:tcPr>
          <w:p>
            <w:pPr>
              <w:pStyle w:val="TabelleTextlinks"/>
            </w:pPr>
            <w:r>
              <w:t>Netzwerkverbindung prüfen</w:t>
            </w:r>
          </w:p>
        </w:tc>
      </w:tr>
      <w:tr>
        <w:tc>
          <w:tcPr>
            <w:tcW w:w="992" w:type="dxa"/>
            <w:vMerge w:val="restart"/>
            <w:shd w:val="clear" w:color="auto" w:fill="auto"/>
          </w:tcPr>
          <w:p>
            <w:pPr>
              <w:pStyle w:val="TabelleTextlinks"/>
            </w:pPr>
            <w:r>
              <w:t>10</w:t>
            </w:r>
          </w:p>
        </w:tc>
        <w:tc>
          <w:tcPr>
            <w:tcW w:w="2157" w:type="dxa"/>
            <w:shd w:val="clear" w:color="auto" w:fill="auto"/>
          </w:tcPr>
          <w:p>
            <w:pPr>
              <w:pStyle w:val="TabelleTextlinks"/>
            </w:pPr>
            <w:r>
              <w:t>W#16#80F0</w:t>
            </w:r>
            <w:r>
              <w:br/>
            </w:r>
          </w:p>
          <w:p>
            <w:pPr>
              <w:pStyle w:val="TabelleTextlinks"/>
            </w:pPr>
          </w:p>
        </w:tc>
        <w:tc>
          <w:tcPr>
            <w:tcW w:w="2188" w:type="dxa"/>
          </w:tcPr>
          <w:p>
            <w:pPr>
              <w:pStyle w:val="TabelleTextlinks"/>
            </w:pPr>
            <w:r>
              <w:t>Fehler beim „Will“-Flag</w:t>
            </w:r>
            <w:r>
              <w:br/>
            </w:r>
            <w:r>
              <w:br/>
            </w:r>
          </w:p>
        </w:tc>
        <w:tc>
          <w:tcPr>
            <w:tcW w:w="2137" w:type="dxa"/>
            <w:vMerge w:val="restart"/>
          </w:tcPr>
          <w:p>
            <w:pPr>
              <w:pStyle w:val="TabelleTextlinks"/>
            </w:pPr>
            <w:r>
              <w:t>Flags im Datentyp „typeMqttConnectFlags“</w:t>
            </w:r>
          </w:p>
          <w:p>
            <w:pPr>
              <w:pStyle w:val="TabelleTextlinks"/>
            </w:pPr>
            <w:r>
              <w:t>prüfen;</w:t>
            </w:r>
          </w:p>
          <w:p>
            <w:pPr>
              <w:pStyle w:val="TabelleTextlinks"/>
            </w:pPr>
          </w:p>
        </w:tc>
      </w:tr>
      <w:tr>
        <w:tc>
          <w:tcPr>
            <w:tcW w:w="992" w:type="dxa"/>
            <w:vMerge/>
            <w:shd w:val="clear" w:color="auto" w:fill="auto"/>
          </w:tcPr>
          <w:p>
            <w:pPr>
              <w:pStyle w:val="TabelleTextlinks"/>
            </w:pPr>
          </w:p>
        </w:tc>
        <w:tc>
          <w:tcPr>
            <w:tcW w:w="2157" w:type="dxa"/>
            <w:shd w:val="clear" w:color="auto" w:fill="auto"/>
          </w:tcPr>
          <w:p>
            <w:pPr>
              <w:pStyle w:val="TabelleTextlinks"/>
            </w:pPr>
            <w:r>
              <w:t>W#16#80F1</w:t>
            </w:r>
          </w:p>
        </w:tc>
        <w:tc>
          <w:tcPr>
            <w:tcW w:w="2188" w:type="dxa"/>
          </w:tcPr>
          <w:p>
            <w:pPr>
              <w:pStyle w:val="TabelleTextlinks"/>
            </w:pPr>
            <w:r>
              <w:t>Fehler beim „WillQoS“-Flag</w:t>
            </w:r>
          </w:p>
        </w:tc>
        <w:tc>
          <w:tcPr>
            <w:tcW w:w="2137" w:type="dxa"/>
            <w:vMerge/>
          </w:tcPr>
          <w:p>
            <w:pPr>
              <w:pStyle w:val="TabelleTextlinks"/>
            </w:pPr>
          </w:p>
        </w:tc>
      </w:tr>
      <w:tr>
        <w:tc>
          <w:tcPr>
            <w:tcW w:w="992" w:type="dxa"/>
            <w:vMerge/>
            <w:shd w:val="clear" w:color="auto" w:fill="auto"/>
          </w:tcPr>
          <w:p>
            <w:pPr>
              <w:pStyle w:val="TabelleTextlinks"/>
            </w:pPr>
          </w:p>
        </w:tc>
        <w:tc>
          <w:tcPr>
            <w:tcW w:w="2157" w:type="dxa"/>
            <w:shd w:val="clear" w:color="auto" w:fill="auto"/>
          </w:tcPr>
          <w:p>
            <w:pPr>
              <w:pStyle w:val="TabelleTextlinks"/>
            </w:pPr>
            <w:r>
              <w:t>W#16#80F3</w:t>
            </w:r>
          </w:p>
        </w:tc>
        <w:tc>
          <w:tcPr>
            <w:tcW w:w="2188" w:type="dxa"/>
          </w:tcPr>
          <w:p>
            <w:pPr>
              <w:pStyle w:val="TabelleTextlinks"/>
            </w:pPr>
            <w:r>
              <w:t>Fehler beim „KeepAlive“-Flag</w:t>
            </w:r>
          </w:p>
        </w:tc>
        <w:tc>
          <w:tcPr>
            <w:tcW w:w="2137" w:type="dxa"/>
          </w:tcPr>
          <w:p>
            <w:pPr>
              <w:pStyle w:val="TabelleTextlinks"/>
            </w:pPr>
            <w:r>
              <w:t>KeepAlive muss größer als 2 Sekunden sein.</w:t>
            </w:r>
          </w:p>
        </w:tc>
      </w:tr>
      <w:tr>
        <w:tc>
          <w:tcPr>
            <w:tcW w:w="992" w:type="dxa"/>
            <w:shd w:val="clear" w:color="auto" w:fill="auto"/>
          </w:tcPr>
          <w:p>
            <w:pPr>
              <w:pStyle w:val="TabelleTextlinks"/>
            </w:pPr>
            <w:r>
              <w:t>11</w:t>
            </w:r>
          </w:p>
        </w:tc>
        <w:tc>
          <w:tcPr>
            <w:tcW w:w="2157" w:type="dxa"/>
            <w:shd w:val="clear" w:color="auto" w:fill="auto"/>
          </w:tcPr>
          <w:p>
            <w:pPr>
              <w:pStyle w:val="TabelleTextlinks"/>
            </w:pPr>
            <w:r>
              <w:t>Statusmeldung vom Baustein „TSEND“</w:t>
            </w:r>
          </w:p>
        </w:tc>
        <w:tc>
          <w:tcPr>
            <w:tcW w:w="2188" w:type="dxa"/>
          </w:tcPr>
          <w:p>
            <w:pPr>
              <w:pStyle w:val="TabelleTextlinks"/>
            </w:pPr>
            <w:r>
              <w:t>Siehe Handbuch</w:t>
            </w:r>
          </w:p>
        </w:tc>
        <w:tc>
          <w:tcPr>
            <w:tcW w:w="2137" w:type="dxa"/>
          </w:tcPr>
          <w:p>
            <w:pPr>
              <w:pStyle w:val="TabelleTextlinks"/>
            </w:pPr>
            <w:r>
              <w:t>-</w:t>
            </w:r>
          </w:p>
        </w:tc>
      </w:tr>
      <w:tr>
        <w:tc>
          <w:tcPr>
            <w:tcW w:w="992" w:type="dxa"/>
            <w:vMerge w:val="restart"/>
            <w:shd w:val="clear" w:color="auto" w:fill="auto"/>
          </w:tcPr>
          <w:p>
            <w:pPr>
              <w:pStyle w:val="TabelleTextlinks"/>
            </w:pPr>
            <w:r>
              <w:t>12</w:t>
            </w:r>
          </w:p>
        </w:tc>
        <w:tc>
          <w:tcPr>
            <w:tcW w:w="2157" w:type="dxa"/>
            <w:shd w:val="clear" w:color="auto" w:fill="auto"/>
          </w:tcPr>
          <w:p>
            <w:pPr>
              <w:pStyle w:val="TabelleTextlinks"/>
            </w:pPr>
            <w:r>
              <w:t>1</w:t>
            </w:r>
          </w:p>
        </w:tc>
        <w:tc>
          <w:tcPr>
            <w:tcW w:w="2188" w:type="dxa"/>
          </w:tcPr>
          <w:p>
            <w:pPr>
              <w:pStyle w:val="TabelleTextlinks"/>
            </w:pPr>
            <w:r>
              <w:t>Der Broker akzeptiert nicht das MQTT-Protokoll Level</w:t>
            </w:r>
          </w:p>
          <w:p>
            <w:pPr>
              <w:pStyle w:val="TabelleTextlinks"/>
            </w:pPr>
          </w:p>
        </w:tc>
        <w:tc>
          <w:tcPr>
            <w:tcW w:w="2137" w:type="dxa"/>
            <w:vMerge w:val="restart"/>
          </w:tcPr>
          <w:p>
            <w:pPr>
              <w:pStyle w:val="TabelleTextlinks"/>
            </w:pPr>
            <w:r>
              <w:t>Zugangsdaten im Datentyp „typeMqttParam“ prüfen</w:t>
            </w:r>
          </w:p>
        </w:tc>
      </w:tr>
      <w:tr>
        <w:tc>
          <w:tcPr>
            <w:tcW w:w="992" w:type="dxa"/>
            <w:vMerge/>
            <w:shd w:val="clear" w:color="auto" w:fill="auto"/>
          </w:tcPr>
          <w:p>
            <w:pPr>
              <w:pStyle w:val="TabelleTextlinks"/>
            </w:pPr>
          </w:p>
        </w:tc>
        <w:tc>
          <w:tcPr>
            <w:tcW w:w="2157" w:type="dxa"/>
            <w:shd w:val="clear" w:color="auto" w:fill="auto"/>
          </w:tcPr>
          <w:p>
            <w:pPr>
              <w:pStyle w:val="TabelleTextlinks"/>
            </w:pPr>
            <w:r>
              <w:t>2</w:t>
            </w:r>
          </w:p>
        </w:tc>
        <w:tc>
          <w:tcPr>
            <w:tcW w:w="2188" w:type="dxa"/>
          </w:tcPr>
          <w:p>
            <w:pPr>
              <w:pStyle w:val="TabelleTextlinks"/>
            </w:pPr>
            <w:r>
              <w:t>ClientIdentifier wird nicht akzeptiert</w:t>
            </w:r>
          </w:p>
          <w:p>
            <w:pPr>
              <w:pStyle w:val="TabelleTextlinks"/>
            </w:pPr>
          </w:p>
        </w:tc>
        <w:tc>
          <w:tcPr>
            <w:tcW w:w="2137" w:type="dxa"/>
            <w:vMerge/>
          </w:tcPr>
          <w:p>
            <w:pPr>
              <w:pStyle w:val="TabelleTextlinks"/>
            </w:pPr>
          </w:p>
        </w:tc>
      </w:tr>
      <w:tr>
        <w:tc>
          <w:tcPr>
            <w:tcW w:w="992" w:type="dxa"/>
            <w:vMerge/>
            <w:shd w:val="clear" w:color="auto" w:fill="auto"/>
          </w:tcPr>
          <w:p>
            <w:pPr>
              <w:pStyle w:val="TabelleTextlinks"/>
            </w:pPr>
          </w:p>
        </w:tc>
        <w:tc>
          <w:tcPr>
            <w:tcW w:w="2157" w:type="dxa"/>
            <w:shd w:val="clear" w:color="auto" w:fill="auto"/>
          </w:tcPr>
          <w:p>
            <w:pPr>
              <w:pStyle w:val="TabelleTextlinks"/>
            </w:pPr>
            <w:r>
              <w:t>3</w:t>
            </w:r>
          </w:p>
        </w:tc>
        <w:tc>
          <w:tcPr>
            <w:tcW w:w="2188" w:type="dxa"/>
          </w:tcPr>
          <w:p>
            <w:pPr>
              <w:pStyle w:val="TabelleTextlinks"/>
            </w:pPr>
            <w:r>
              <w:t>MQTT Service nicht vorhanden</w:t>
            </w:r>
          </w:p>
          <w:p>
            <w:pPr>
              <w:pStyle w:val="TabelleTextlinks"/>
            </w:pPr>
          </w:p>
        </w:tc>
        <w:tc>
          <w:tcPr>
            <w:tcW w:w="2137" w:type="dxa"/>
            <w:vMerge/>
          </w:tcPr>
          <w:p>
            <w:pPr>
              <w:pStyle w:val="TabelleTextlinks"/>
            </w:pPr>
          </w:p>
        </w:tc>
      </w:tr>
      <w:tr>
        <w:tc>
          <w:tcPr>
            <w:tcW w:w="992" w:type="dxa"/>
            <w:vMerge/>
            <w:shd w:val="clear" w:color="auto" w:fill="auto"/>
          </w:tcPr>
          <w:p>
            <w:pPr>
              <w:pStyle w:val="TabelleTextlinks"/>
            </w:pPr>
          </w:p>
        </w:tc>
        <w:tc>
          <w:tcPr>
            <w:tcW w:w="2157" w:type="dxa"/>
            <w:shd w:val="clear" w:color="auto" w:fill="auto"/>
          </w:tcPr>
          <w:p>
            <w:pPr>
              <w:pStyle w:val="TabelleTextlinks"/>
            </w:pPr>
            <w:r>
              <w:t>4</w:t>
            </w:r>
          </w:p>
        </w:tc>
        <w:tc>
          <w:tcPr>
            <w:tcW w:w="2188" w:type="dxa"/>
          </w:tcPr>
          <w:p>
            <w:pPr>
              <w:pStyle w:val="TabelleTextlinks"/>
            </w:pPr>
            <w:r>
              <w:t>Daten im Username/Passwort sind inkorrekt</w:t>
            </w:r>
          </w:p>
          <w:p>
            <w:pPr>
              <w:pStyle w:val="TabelleTextlinks"/>
            </w:pPr>
          </w:p>
        </w:tc>
        <w:tc>
          <w:tcPr>
            <w:tcW w:w="2137" w:type="dxa"/>
            <w:vMerge/>
          </w:tcPr>
          <w:p>
            <w:pPr>
              <w:pStyle w:val="TabelleTextlinks"/>
            </w:pPr>
          </w:p>
        </w:tc>
      </w:tr>
      <w:tr>
        <w:tc>
          <w:tcPr>
            <w:tcW w:w="992" w:type="dxa"/>
            <w:vMerge/>
            <w:shd w:val="clear" w:color="auto" w:fill="auto"/>
          </w:tcPr>
          <w:p>
            <w:pPr>
              <w:pStyle w:val="TabelleTextlinks"/>
            </w:pPr>
          </w:p>
        </w:tc>
        <w:tc>
          <w:tcPr>
            <w:tcW w:w="2157" w:type="dxa"/>
            <w:shd w:val="clear" w:color="auto" w:fill="auto"/>
          </w:tcPr>
          <w:p>
            <w:pPr>
              <w:pStyle w:val="TabelleTextlinks"/>
            </w:pPr>
            <w:r>
              <w:t>5</w:t>
            </w:r>
          </w:p>
        </w:tc>
        <w:tc>
          <w:tcPr>
            <w:tcW w:w="2188" w:type="dxa"/>
          </w:tcPr>
          <w:p>
            <w:pPr>
              <w:pStyle w:val="TabelleTextlinks"/>
            </w:pPr>
            <w:r>
              <w:t>Client ist nicht berechtigt</w:t>
            </w:r>
          </w:p>
        </w:tc>
        <w:tc>
          <w:tcPr>
            <w:tcW w:w="2137" w:type="dxa"/>
            <w:vMerge/>
          </w:tcPr>
          <w:p>
            <w:pPr>
              <w:pStyle w:val="TabelleTextlinks"/>
            </w:pPr>
          </w:p>
        </w:tc>
      </w:tr>
      <w:tr>
        <w:tc>
          <w:tcPr>
            <w:tcW w:w="992" w:type="dxa"/>
            <w:shd w:val="clear" w:color="auto" w:fill="auto"/>
          </w:tcPr>
          <w:p>
            <w:pPr>
              <w:pStyle w:val="TabelleTextlinks"/>
            </w:pPr>
            <w:r>
              <w:t>13</w:t>
            </w:r>
          </w:p>
        </w:tc>
        <w:tc>
          <w:tcPr>
            <w:tcW w:w="2157" w:type="dxa"/>
            <w:shd w:val="clear" w:color="auto" w:fill="auto"/>
          </w:tcPr>
          <w:p>
            <w:pPr>
              <w:pStyle w:val="TabelleTextlinks"/>
            </w:pPr>
            <w:r>
              <w:t>Statusmeldung vom Baustein „TSEND“</w:t>
            </w:r>
          </w:p>
        </w:tc>
        <w:tc>
          <w:tcPr>
            <w:tcW w:w="2188" w:type="dxa"/>
          </w:tcPr>
          <w:p>
            <w:pPr>
              <w:pStyle w:val="TabelleTextlinks"/>
            </w:pPr>
            <w:r>
              <w:t>Siehe Handbuch</w:t>
            </w:r>
          </w:p>
        </w:tc>
        <w:tc>
          <w:tcPr>
            <w:tcW w:w="2137" w:type="dxa"/>
          </w:tcPr>
          <w:p>
            <w:pPr>
              <w:pStyle w:val="TabelleTextlinks"/>
            </w:pPr>
            <w:r>
              <w:t>-</w:t>
            </w:r>
          </w:p>
        </w:tc>
      </w:tr>
      <w:tr>
        <w:tc>
          <w:tcPr>
            <w:tcW w:w="992" w:type="dxa"/>
            <w:shd w:val="clear" w:color="auto" w:fill="auto"/>
          </w:tcPr>
          <w:p>
            <w:pPr>
              <w:pStyle w:val="TabelleTextlinks"/>
            </w:pPr>
            <w:r>
              <w:t>14,19,20</w:t>
            </w:r>
          </w:p>
        </w:tc>
        <w:tc>
          <w:tcPr>
            <w:tcW w:w="2157" w:type="dxa"/>
            <w:shd w:val="clear" w:color="auto" w:fill="auto"/>
          </w:tcPr>
          <w:p>
            <w:pPr>
              <w:pStyle w:val="TabelleTextlinks"/>
            </w:pPr>
            <w:r>
              <w:t>W#16#80F2</w:t>
            </w:r>
          </w:p>
        </w:tc>
        <w:tc>
          <w:tcPr>
            <w:tcW w:w="2188" w:type="dxa"/>
          </w:tcPr>
          <w:p>
            <w:pPr>
              <w:pStyle w:val="TabelleTextlinks"/>
            </w:pPr>
            <w:r>
              <w:t>Falschen PacketIdentifier empfangen</w:t>
            </w:r>
          </w:p>
        </w:tc>
        <w:tc>
          <w:tcPr>
            <w:tcW w:w="2137" w:type="dxa"/>
          </w:tcPr>
          <w:p>
            <w:pPr>
              <w:pStyle w:val="TabelleTextlinks"/>
            </w:pPr>
            <w:r>
              <w:t>-</w:t>
            </w:r>
          </w:p>
        </w:tc>
      </w:tr>
      <w:tr>
        <w:tc>
          <w:tcPr>
            <w:tcW w:w="992" w:type="dxa"/>
            <w:shd w:val="clear" w:color="auto" w:fill="auto"/>
          </w:tcPr>
          <w:p>
            <w:pPr>
              <w:pStyle w:val="TabelleTextlinks"/>
            </w:pPr>
            <w:r>
              <w:t>20</w:t>
            </w:r>
          </w:p>
        </w:tc>
        <w:tc>
          <w:tcPr>
            <w:tcW w:w="2157" w:type="dxa"/>
            <w:shd w:val="clear" w:color="auto" w:fill="auto"/>
          </w:tcPr>
          <w:p>
            <w:pPr>
              <w:pStyle w:val="TabelleTextlinks"/>
            </w:pPr>
            <w:r>
              <w:t>Statusmeldung vom Baustein „TCON“ oder "TRCV"</w:t>
            </w:r>
          </w:p>
        </w:tc>
        <w:tc>
          <w:tcPr>
            <w:tcW w:w="2188" w:type="dxa"/>
          </w:tcPr>
          <w:p>
            <w:pPr>
              <w:pStyle w:val="TabelleTextlinks"/>
            </w:pPr>
            <w:r>
              <w:t>Zeitüberschreitung</w:t>
            </w:r>
          </w:p>
        </w:tc>
        <w:tc>
          <w:tcPr>
            <w:tcW w:w="2137" w:type="dxa"/>
          </w:tcPr>
          <w:p>
            <w:pPr>
              <w:pStyle w:val="TabelleTextlinks"/>
            </w:pPr>
            <w:r>
              <w:t>Verbindungsparameter prüfen</w:t>
            </w:r>
          </w:p>
        </w:tc>
      </w:tr>
    </w:tbl>
    <w:p>
      <w:pPr>
        <w:pStyle w:val="Blocktext"/>
        <w:rPr>
          <w:lang w:eastAsia="ja-JP"/>
        </w:rPr>
      </w:pPr>
    </w:p>
    <w:p>
      <w:pPr>
        <w:pStyle w:val="Blocktext"/>
      </w:pPr>
    </w:p>
    <w:p>
      <w:pPr>
        <w:pStyle w:val="berschrift1"/>
      </w:pPr>
      <w:bookmarkStart w:id="28" w:name="_Toc473820200"/>
      <w:bookmarkStart w:id="29" w:name="_Ref486421821"/>
      <w:bookmarkStart w:id="30" w:name="_Toc520107696"/>
      <w:r>
        <w:lastRenderedPageBreak/>
        <w:t>Wissenswertes</w:t>
      </w:r>
      <w:bookmarkEnd w:id="28"/>
      <w:bookmarkEnd w:id="29"/>
      <w:bookmarkEnd w:id="30"/>
      <w:r>
        <w:t xml:space="preserve"> </w:t>
      </w:r>
    </w:p>
    <w:p>
      <w:pPr>
        <w:pStyle w:val="berschrift2"/>
      </w:pPr>
      <w:bookmarkStart w:id="31" w:name="_Toc520107697"/>
      <w:r>
        <w:t>Grundlagen zu MQTT</w:t>
      </w:r>
      <w:bookmarkEnd w:id="31"/>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 xml:space="preserve">Eine genaue Beschreibung zu MQTT finden Sie in der MQTT-Spezifikationsbeschreibung (siehe \3\ im </w:t>
            </w:r>
            <w:r>
              <w:rPr>
                <w:color w:val="0000FF"/>
                <w:u w:val="single"/>
              </w:rPr>
              <w:t xml:space="preserve">Kapitel </w:t>
            </w:r>
            <w:r>
              <w:rPr>
                <w:color w:val="0000FF"/>
                <w:u w:val="single"/>
              </w:rPr>
              <w:fldChar w:fldCharType="begin"/>
            </w:r>
            <w:r>
              <w:rPr>
                <w:color w:val="0000FF"/>
                <w:u w:val="single"/>
              </w:rPr>
              <w:instrText xml:space="preserve"> REF _Ref486333187 \r \h  \* MERGEFORMAT </w:instrText>
            </w:r>
            <w:r>
              <w:rPr>
                <w:color w:val="0000FF"/>
                <w:u w:val="single"/>
              </w:rPr>
            </w:r>
            <w:r>
              <w:rPr>
                <w:color w:val="0000FF"/>
                <w:u w:val="single"/>
              </w:rPr>
              <w:fldChar w:fldCharType="separate"/>
            </w:r>
            <w:r>
              <w:rPr>
                <w:color w:val="0000FF"/>
                <w:u w:val="single"/>
              </w:rPr>
              <w:t>4.2</w:t>
            </w:r>
            <w:r>
              <w:rPr>
                <w:color w:val="0000FF"/>
                <w:u w:val="single"/>
              </w:rPr>
              <w:fldChar w:fldCharType="end"/>
            </w:r>
            <w:r>
              <w:t>).</w:t>
            </w:r>
          </w:p>
        </w:tc>
      </w:tr>
    </w:tbl>
    <w:p>
      <w:pPr>
        <w:pStyle w:val="berschrift3"/>
      </w:pPr>
      <w:bookmarkStart w:id="32" w:name="_Toc520107698"/>
      <w:r>
        <w:t>Terminologie</w:t>
      </w:r>
      <w:bookmarkEnd w:id="32"/>
    </w:p>
    <w:p>
      <w:pPr>
        <w:pStyle w:val="Blocktext"/>
        <w:rPr>
          <w:lang w:eastAsia="ja-JP"/>
        </w:rPr>
      </w:pPr>
      <w:r>
        <w:rPr>
          <w:lang w:eastAsia="ja-JP"/>
        </w:rPr>
        <w:t>Im Folgenden werden die wichtigsten Begriffe bei dem Telemetrie-Protokoll MQTT erläutert.</w:t>
      </w:r>
    </w:p>
    <w:p>
      <w:pPr>
        <w:pStyle w:val="Blocktitel"/>
      </w:pPr>
      <w:r>
        <w:t>MQTT-Nachricht</w:t>
      </w:r>
    </w:p>
    <w:p>
      <w:pPr>
        <w:pStyle w:val="Blocktext"/>
      </w:pPr>
      <w:r>
        <w:t>Eine Nachricht bei MQTT besteht aus mehreren Teilen:</w:t>
      </w:r>
    </w:p>
    <w:p>
      <w:pPr>
        <w:pStyle w:val="BulletText1"/>
      </w:pPr>
      <w:r>
        <w:t>Einem definierten Betreff ("Topic")</w:t>
      </w:r>
    </w:p>
    <w:p>
      <w:pPr>
        <w:pStyle w:val="BulletText1"/>
      </w:pPr>
      <w:r>
        <w:t>Ein zugewiesenes Merkmal zur Qualitätssicherung ("Quality of Service")</w:t>
      </w:r>
    </w:p>
    <w:p>
      <w:pPr>
        <w:pStyle w:val="BulletText1"/>
      </w:pPr>
      <w:r>
        <w:t>Dem Nachrichtentext</w:t>
      </w:r>
    </w:p>
    <w:p>
      <w:pPr>
        <w:pStyle w:val="Blocktitel"/>
      </w:pPr>
      <w:r>
        <w:t>MQTT-Client</w:t>
      </w:r>
    </w:p>
    <w:p>
      <w:pPr>
        <w:pStyle w:val="Blocktext"/>
        <w:rPr>
          <w:lang w:eastAsia="ja-JP"/>
        </w:rPr>
      </w:pPr>
      <w:r>
        <w:rPr>
          <w:lang w:eastAsia="ja-JP"/>
        </w:rPr>
        <w:t>Ein MQTT-Client ist ein Programm oder ein Gerät, das MQTT nutzt. Ein Client baut immer aktiv die Verbindung zum Broker auf. Ein Client kann folgende Funktionen ausführen:</w:t>
      </w:r>
    </w:p>
    <w:p>
      <w:pPr>
        <w:pStyle w:val="BulletText1"/>
      </w:pPr>
      <w:r>
        <w:t>Nachrichten mit einem definierten Betreff ("Topic") an den Broker senden, an die anderen Clients interessiert sein könnten (Publish-Mechanismus)</w:t>
      </w:r>
    </w:p>
    <w:p>
      <w:pPr>
        <w:pStyle w:val="BulletText1"/>
      </w:pPr>
      <w:r>
        <w:t>Nachrichten beim Broker abonnieren, die einem bestimmten Betreff ("Topic") folgen (Subscriber-Mechanismus)</w:t>
      </w:r>
    </w:p>
    <w:p>
      <w:pPr>
        <w:pStyle w:val="BulletText1"/>
      </w:pPr>
      <w:r>
        <w:t>Sich selbst von abonnierten Nachrichten abmelden</w:t>
      </w:r>
    </w:p>
    <w:p>
      <w:pPr>
        <w:pStyle w:val="BulletText1"/>
      </w:pPr>
      <w:r>
        <w:t>Die Verbindung zum Broker trennen</w:t>
      </w:r>
    </w:p>
    <w:p>
      <w:pPr>
        <w:pStyle w:val="BulletText1"/>
        <w:numPr>
          <w:ilvl w:val="0"/>
          <w:numId w:val="0"/>
        </w:numPr>
        <w:ind w:left="1134"/>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Blocktext"/>
              <w:ind w:left="0"/>
            </w:pPr>
            <w:r>
              <w:t>Der Funktionsbaustein "LMqtt_Publisher" in diesem Anwendungsbeispiel unterstützt folgende Funktionen:</w:t>
            </w:r>
          </w:p>
          <w:p>
            <w:pPr>
              <w:pStyle w:val="TabelleBulletText1"/>
              <w:rPr>
                <w:sz w:val="20"/>
              </w:rPr>
            </w:pPr>
            <w:r>
              <w:rPr>
                <w:sz w:val="20"/>
              </w:rPr>
              <w:t xml:space="preserve">Publish-Mechanismus </w:t>
            </w:r>
          </w:p>
          <w:p>
            <w:pPr>
              <w:pStyle w:val="TabelleBulletText1"/>
              <w:rPr>
                <w:sz w:val="20"/>
              </w:rPr>
            </w:pPr>
            <w:r>
              <w:rPr>
                <w:sz w:val="20"/>
              </w:rPr>
              <w:t>Abmeldung am Broker.</w:t>
            </w:r>
          </w:p>
        </w:tc>
      </w:tr>
    </w:tbl>
    <w:p>
      <w:pPr>
        <w:pStyle w:val="Blocktext"/>
      </w:pPr>
    </w:p>
    <w:p>
      <w:pPr>
        <w:pStyle w:val="Blocktitel"/>
      </w:pPr>
      <w:r>
        <w:t>MQTT-Broker</w:t>
      </w:r>
    </w:p>
    <w:p>
      <w:pPr>
        <w:pStyle w:val="Blocktext"/>
        <w:rPr>
          <w:lang w:eastAsia="ja-JP"/>
        </w:rPr>
      </w:pPr>
      <w:r>
        <w:rPr>
          <w:lang w:eastAsia="ja-JP"/>
        </w:rPr>
        <w:t>Ein MQTT-Broker ist die zentrale Komponente von MQTT und kann ein Programm oder ein Gerät sein. Der Broker agiert als Vermittler zwischen dem sendenden MQTT-Client und dem abonnierenden MQTT-Client.</w:t>
      </w:r>
      <w:r>
        <w:t xml:space="preserve"> Der MQTT-</w:t>
      </w:r>
      <w:r>
        <w:rPr>
          <w:lang w:eastAsia="ja-JP"/>
        </w:rPr>
        <w:t>Broker</w:t>
      </w:r>
      <w:r>
        <w:t xml:space="preserve"> verwaltet </w:t>
      </w:r>
      <w:r>
        <w:rPr>
          <w:lang w:eastAsia="ja-JP"/>
        </w:rPr>
        <w:t>die Topics inklusive der darin enthaltenen Nachrichten und regelt den Zugriff auf die Topics. Der Broker hat folgende Funktionen:</w:t>
      </w:r>
    </w:p>
    <w:p>
      <w:pPr>
        <w:pStyle w:val="BulletText1"/>
      </w:pPr>
      <w:r>
        <w:t>Netzwerkverbindungen von den Clients akzeptieren</w:t>
      </w:r>
    </w:p>
    <w:p>
      <w:pPr>
        <w:pStyle w:val="BulletText1"/>
      </w:pPr>
      <w:r>
        <w:t>Nachrichten eines MQTT-Clients entgegennehmen</w:t>
      </w:r>
    </w:p>
    <w:p>
      <w:pPr>
        <w:pStyle w:val="BulletText1"/>
      </w:pPr>
      <w:r>
        <w:t>Abonnement-Anfragen von MQTT-Clients bearbeiten</w:t>
      </w:r>
    </w:p>
    <w:p>
      <w:pPr>
        <w:pStyle w:val="BulletText1"/>
      </w:pPr>
      <w:r>
        <w:t>Nachrichten an die MQTT-Clients weiterleiten, die mit Ihrem Abonnement übereinstimmen</w:t>
      </w:r>
    </w:p>
    <w:p>
      <w:pPr>
        <w:pStyle w:val="Blocktext"/>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lastRenderedPageBreak/>
              <w:t>Hinweis</w:t>
            </w:r>
          </w:p>
        </w:tc>
        <w:tc>
          <w:tcPr>
            <w:tcW w:w="7391" w:type="dxa"/>
            <w:shd w:val="pct15" w:color="auto" w:fill="FFFFFF"/>
          </w:tcPr>
          <w:p>
            <w:pPr>
              <w:pStyle w:val="Hinweis"/>
            </w:pPr>
            <w:r>
              <w:t>Der MQTT-Broker ist nicht Teil dieses Anwendungsbeispiels und wird als gegeben vorausgesetzt.</w:t>
            </w:r>
          </w:p>
        </w:tc>
      </w:tr>
    </w:tbl>
    <w:p>
      <w:pPr>
        <w:pStyle w:val="Blocktitel"/>
      </w:pPr>
      <w:r>
        <w:t>Topics</w:t>
      </w:r>
    </w:p>
    <w:p>
      <w:pPr>
        <w:pStyle w:val="Blocktext"/>
      </w:pPr>
      <w:r>
        <w:t>MQTT-Nachrichten sind in Topics organisiert. Ein Topic "beschreibt" ein Themengebiet. Die Topics können von den MQTT-Clients abonniert werden (Subscriber-Mechanismus). Dem Absender einer Nachricht (Publisher-Mechanismus) obliegt die Aufgabe, Inhalt und Topic beim Versand der Nachricht festzulegen. Der Broker kümmert sich dann darum, dass die Subscriber die Nachrichten von den abonnierten Topics bekommen. Die Topics folgen einem definierten Schema. Sie ähneln einem Verzeichnispfad und bilden eine Hierarchie ab.</w:t>
      </w:r>
    </w:p>
    <w:p>
      <w:pPr>
        <w:pStyle w:val="berschrift3"/>
      </w:pPr>
      <w:bookmarkStart w:id="33" w:name="_Toc520107699"/>
      <w:r>
        <w:t>Standard und Architektur</w:t>
      </w:r>
      <w:bookmarkEnd w:id="33"/>
    </w:p>
    <w:p>
      <w:pPr>
        <w:pStyle w:val="Blocktitel"/>
      </w:pPr>
      <w:r>
        <w:t>ISO Standard</w:t>
      </w:r>
    </w:p>
    <w:p>
      <w:pPr>
        <w:pStyle w:val="Blocktext"/>
      </w:pPr>
      <w:r>
        <w:t xml:space="preserve">MQTT definiert einen OASIS- bzw. ISO-Standard (ISO/IEC PRF 20922). </w:t>
      </w:r>
    </w:p>
    <w:p>
      <w:pPr>
        <w:pStyle w:val="Blocktext"/>
      </w:pPr>
      <w:r>
        <w:t>Je nach verwendeten Sicherheitsprotokollen läuft MQTT auf unterschiedliche Zugriffs-Ports. Angebotene Ports sind:</w:t>
      </w:r>
    </w:p>
    <w:p>
      <w:pPr>
        <w:pStyle w:val="BulletText1"/>
      </w:pPr>
      <w:r>
        <w:t>1883: MQTT, unverschlüsselt</w:t>
      </w:r>
    </w:p>
    <w:p>
      <w:pPr>
        <w:pStyle w:val="BulletText1"/>
      </w:pPr>
      <w:r>
        <w:t>8883: MQTT, verschlüsselt</w:t>
      </w:r>
    </w:p>
    <w:p>
      <w:pPr>
        <w:pStyle w:val="BulletText1"/>
      </w:pPr>
      <w:r>
        <w:t>8884: MQTT, verschlüsselt, Client Zertifikat notwendig</w:t>
      </w:r>
    </w:p>
    <w:p>
      <w:pPr>
        <w:pStyle w:val="BulletText1"/>
      </w:pPr>
      <w:r>
        <w:t>8080: MQTT über WebSockets, unverschlüsselt</w:t>
      </w:r>
    </w:p>
    <w:p>
      <w:pPr>
        <w:pStyle w:val="BulletText1"/>
      </w:pPr>
      <w:r>
        <w:t>8081: MQTT über WebSockets, verschlüsselt</w:t>
      </w:r>
    </w:p>
    <w:p>
      <w:pPr>
        <w:pStyle w:val="Blocktitel"/>
      </w:pPr>
      <w:r>
        <w:t>Architektur</w:t>
      </w:r>
    </w:p>
    <w:p>
      <w:pPr>
        <w:pStyle w:val="Blocktext"/>
      </w:pPr>
      <w:r>
        <w:t>MQTT ist ein Publish- und Subscribe-Protokoll. Dieser Mechanismus entkoppelt einen Client, der Nachrichten sendet (Publisher) von einen oder mehreren Clients, welche die Nachrichten empfangen (Subscriber). Das bedeutet auch, dass die "Publisher" nichts von der Existenz der "Subscriber" wissen (und umgekehrt).</w:t>
      </w:r>
      <w:r>
        <w:br/>
        <w:t>Es gibt eine dritte Komponente in der MQTT-Architektur, der MQTT-Broker. Der MQTT-Broker befindet sich zwischen "Publisher" und "Subscriber". Der MQTT-Broker sorgt für die Kommunikationssteuerung.</w:t>
      </w:r>
    </w:p>
    <w:p>
      <w:pPr>
        <w:pStyle w:val="berschrift3"/>
        <w:pageBreakBefore/>
      </w:pPr>
      <w:bookmarkStart w:id="34" w:name="_Ref486406181"/>
      <w:bookmarkStart w:id="35" w:name="_Toc520107700"/>
      <w:r>
        <w:lastRenderedPageBreak/>
        <w:t>Features</w:t>
      </w:r>
      <w:bookmarkEnd w:id="34"/>
      <w:bookmarkEnd w:id="35"/>
    </w:p>
    <w:p>
      <w:pPr>
        <w:pStyle w:val="Blocktext"/>
        <w:rPr>
          <w:lang w:eastAsia="ja-JP"/>
        </w:rPr>
      </w:pPr>
      <w:r>
        <w:rPr>
          <w:lang w:eastAsia="ja-JP"/>
        </w:rPr>
        <w:t>MQTT bietet durchaus nützliche Features an.</w:t>
      </w:r>
    </w:p>
    <w:p>
      <w:pPr>
        <w:pStyle w:val="Blocktitel"/>
      </w:pPr>
      <w:r>
        <w:t>Quality of Service</w:t>
      </w:r>
    </w:p>
    <w:p>
      <w:pPr>
        <w:pStyle w:val="Blocktext"/>
      </w:pPr>
      <w:r>
        <w:t>Für die Qualitätssicherung bei der Nachrichtenübermittlung sieht die MQTT-Spezifikation drei Levels vor:</w:t>
      </w:r>
    </w:p>
    <w:p>
      <w:pPr>
        <w:pStyle w:val="BulletText1"/>
      </w:pPr>
      <w:r>
        <w:t xml:space="preserve">QoS "0": Bei der niedrigsten Stufe 0 handelt es sich um ein "fire'n'forget"-Verfahren. Es gibt also keine Garantie, dass die Nachricht überhaupt ankommt. </w:t>
      </w:r>
    </w:p>
    <w:p>
      <w:pPr>
        <w:pStyle w:val="BulletText1"/>
      </w:pPr>
      <w:r>
        <w:t xml:space="preserve">QoS "1": Bei dem QoS-Level 1 ist sichergestellt, dass die Nachricht mindestens einmal in der Topic-Queue landet. Der Broker quittiert den Erhalt der Nachricht. </w:t>
      </w:r>
    </w:p>
    <w:p>
      <w:pPr>
        <w:pStyle w:val="BulletText1"/>
      </w:pPr>
      <w:r>
        <w:t>QoS "2": In der höchsten Stufe 2 garantiert der Broker durch mehrfachen Handshake mit dem Client, dass die Nachricht genau einmal abgelegt wird.</w:t>
      </w:r>
    </w:p>
    <w:p>
      <w:pPr>
        <w:pStyle w:val="Blocktitel"/>
      </w:pPr>
      <w:r>
        <w:t>Last will</w:t>
      </w:r>
    </w:p>
    <w:p>
      <w:pPr>
        <w:pStyle w:val="Blocktext"/>
      </w:pPr>
      <w:r>
        <w:t>MQTT unterstützt die "Last Will and Testament"-Funktion. Diese Funktion wird verwendet, um anderen Clients zu unterrichten, wenn die Verbindung zu einem Client unvorhergesehen getrennt wurde.</w:t>
      </w:r>
    </w:p>
    <w:p>
      <w:pPr>
        <w:pStyle w:val="Blocktext"/>
      </w:pPr>
      <w:r>
        <w:t xml:space="preserve">Jeder Client kann während des Verbindungsaufbaus zum </w:t>
      </w:r>
      <w:r>
        <w:rPr>
          <w:lang w:eastAsia="ja-JP"/>
        </w:rPr>
        <w:t>Broker</w:t>
      </w:r>
      <w:r>
        <w:t xml:space="preserve"> seinen letzten Willen spezifizieren und dem </w:t>
      </w:r>
      <w:r>
        <w:rPr>
          <w:lang w:eastAsia="ja-JP"/>
        </w:rPr>
        <w:t>Broker</w:t>
      </w:r>
      <w:r>
        <w:t xml:space="preserve"> mitteilen. Dieser letzte Wille ist wie eine normale MQTT-Nachricht aufgebaut, inklusive Topic, QoS und Payload. Der </w:t>
      </w:r>
      <w:r>
        <w:rPr>
          <w:lang w:eastAsia="ja-JP"/>
        </w:rPr>
        <w:t>Broker</w:t>
      </w:r>
      <w:r>
        <w:t xml:space="preserve"> speichert den letzten Willen. Sobald der </w:t>
      </w:r>
      <w:r>
        <w:rPr>
          <w:lang w:eastAsia="ja-JP"/>
        </w:rPr>
        <w:t>Broker</w:t>
      </w:r>
      <w:r>
        <w:t xml:space="preserve"> merkt, dass die Verbindung mit dem betreffenden Client unvorhergesehen abgebrochen wurde, schickt der </w:t>
      </w:r>
      <w:r>
        <w:rPr>
          <w:lang w:eastAsia="ja-JP"/>
        </w:rPr>
        <w:t>Broker</w:t>
      </w:r>
      <w:r>
        <w:t xml:space="preserve"> an alle Abonnenten, die sich für das Topic registriert haben, den letzten Willen als MQTT-Nachricht heraus. Auf diese Weise erfahren auch die Abonnenten, dass der Client getrennt wurde.</w:t>
      </w:r>
    </w:p>
    <w:p>
      <w:pPr>
        <w:pStyle w:val="Blocktitel"/>
      </w:pPr>
      <w:r>
        <w:t>KeepAlive</w:t>
      </w:r>
    </w:p>
    <w:p>
      <w:pPr>
        <w:pStyle w:val="Blocktext"/>
      </w:pPr>
      <w:r>
        <w:t xml:space="preserve">MQTT unterstützt die KeepAlive-Funktion. Die KeepAlive-Funktion gewährleistet, dass die Verbindung noch offen ist sowie Client und </w:t>
      </w:r>
      <w:r>
        <w:rPr>
          <w:lang w:eastAsia="ja-JP"/>
        </w:rPr>
        <w:t>Broker</w:t>
      </w:r>
      <w:r>
        <w:t xml:space="preserve"> miteinander verbunden sind. </w:t>
      </w:r>
    </w:p>
    <w:p>
      <w:pPr>
        <w:pStyle w:val="Blocktext"/>
      </w:pPr>
      <w:r>
        <w:t xml:space="preserve">Für das KeepAlive definieren die Clients ein Zeitintervall und teilen es dem </w:t>
      </w:r>
      <w:r>
        <w:rPr>
          <w:lang w:eastAsia="ja-JP"/>
        </w:rPr>
        <w:t>Broker</w:t>
      </w:r>
      <w:r>
        <w:t xml:space="preserve"> während ihres Verbindungsaufbaus mit. Dieses Intervall ist die größtmögliche, geduldete Zeitperiode, in welcher der Client und der </w:t>
      </w:r>
      <w:r>
        <w:rPr>
          <w:lang w:eastAsia="ja-JP"/>
        </w:rPr>
        <w:t>Broker</w:t>
      </w:r>
      <w:r>
        <w:t xml:space="preserve"> ohne Kontakt verharren dürfen. Wird die Zeit überschritten, muss der </w:t>
      </w:r>
      <w:r>
        <w:rPr>
          <w:lang w:eastAsia="ja-JP"/>
        </w:rPr>
        <w:t>Broker</w:t>
      </w:r>
      <w:r>
        <w:t xml:space="preserve"> die Verbindung trennen. </w:t>
      </w:r>
    </w:p>
    <w:p>
      <w:pPr>
        <w:pStyle w:val="Blocktext"/>
      </w:pPr>
      <w:r>
        <w:t xml:space="preserve">Das bedeutet, solange der Client regelmäßig Nachrichten innerhalb des KeepAlive-Intervalls an den </w:t>
      </w:r>
      <w:r>
        <w:rPr>
          <w:lang w:eastAsia="ja-JP"/>
        </w:rPr>
        <w:t>Broker</w:t>
      </w:r>
      <w:r>
        <w:t xml:space="preserve"> schickt, muss der Client keine besondere Aktion ausführen, um die Verbindung aufrecht zu erhalten. Wenn der Client aber keine Nachrichten innerhalb des KeepAlive-Intervalls sendet, muss er vor Ablauf der Frist ein Ping-Paket an den </w:t>
      </w:r>
      <w:r>
        <w:rPr>
          <w:lang w:eastAsia="ja-JP"/>
        </w:rPr>
        <w:t>Broker</w:t>
      </w:r>
      <w:r>
        <w:t xml:space="preserve"> absetzen. Mit diesem PING signalisiert der Client dem </w:t>
      </w:r>
      <w:r>
        <w:rPr>
          <w:lang w:eastAsia="ja-JP"/>
        </w:rPr>
        <w:t>Broker</w:t>
      </w:r>
      <w:r>
        <w:t xml:space="preserve">, dass er weiterhin verfügbar ist. </w:t>
      </w:r>
    </w:p>
    <w:p>
      <w:pPr>
        <w:pStyle w:val="Blocktext"/>
      </w:pPr>
      <w:r>
        <w:t xml:space="preserve">Wenn eine Nachricht oder ein Ping-Paket an den </w:t>
      </w:r>
      <w:r>
        <w:rPr>
          <w:lang w:eastAsia="ja-JP"/>
        </w:rPr>
        <w:t>Broker</w:t>
      </w:r>
      <w:r>
        <w:t xml:space="preserve"> geschickt wurde, beginnt die Zeitmessung für das KeepAlive-Intervall von vorne. </w:t>
      </w:r>
    </w:p>
    <w:p>
      <w:pPr>
        <w:pStyle w:val="Blocktext"/>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TabelleBulletText1"/>
              <w:rPr>
                <w:sz w:val="20"/>
              </w:rPr>
            </w:pPr>
            <w:r>
              <w:rPr>
                <w:sz w:val="20"/>
              </w:rPr>
              <w:t>Der Client bestimmt das KeepAlive-Intervall. So kann er das Intervall seiner Umgebung anpassen, z. B. wegen einer langsamen Bandbreite.</w:t>
            </w:r>
          </w:p>
          <w:p>
            <w:pPr>
              <w:pStyle w:val="TabelleBulletText1"/>
              <w:rPr>
                <w:sz w:val="20"/>
              </w:rPr>
            </w:pPr>
            <w:r>
              <w:rPr>
                <w:sz w:val="20"/>
              </w:rPr>
              <w:t>Der größtmögliche Wert für das KeepAlive-Intervall ist 18 h 12 m 15 s</w:t>
            </w:r>
          </w:p>
          <w:p>
            <w:pPr>
              <w:pStyle w:val="TabelleBulletText1"/>
            </w:pPr>
            <w:r>
              <w:rPr>
                <w:sz w:val="20"/>
              </w:rPr>
              <w:t>Wenn der Client das KeepAlive-Intervall auf den Wert "0" setzt, wird der KeepAlive-Mechanismus deaktiviert.</w:t>
            </w:r>
          </w:p>
        </w:tc>
      </w:tr>
    </w:tbl>
    <w:p>
      <w:pPr>
        <w:pStyle w:val="Blocktitel"/>
      </w:pPr>
      <w:r>
        <w:lastRenderedPageBreak/>
        <w:t>Message Persistence</w:t>
      </w:r>
    </w:p>
    <w:p>
      <w:pPr>
        <w:pStyle w:val="Blocktext"/>
      </w:pPr>
      <w:r>
        <w:t xml:space="preserve">Wird die Verbindung zu einem Client unterbrochen, so kann der </w:t>
      </w:r>
      <w:r>
        <w:rPr>
          <w:lang w:eastAsia="ja-JP"/>
        </w:rPr>
        <w:t>Broker</w:t>
      </w:r>
      <w:r>
        <w:t xml:space="preserve"> neue Nachrichten für diesen Client für eine spätere Zustellung zwischenspeichern. </w:t>
      </w:r>
    </w:p>
    <w:p>
      <w:pPr>
        <w:pStyle w:val="Blocktitel"/>
      </w:pPr>
      <w:r>
        <w:t>Retained Messages</w:t>
      </w:r>
    </w:p>
    <w:p>
      <w:pPr>
        <w:pStyle w:val="Blocktext"/>
      </w:pPr>
      <w:r>
        <w:t>Abonniert ein MQTT-Client zum ersten Mal ein Topic, bekommt er normalerweise erst dann eine Nachricht, wenn ein anderer MQTT-Client das nächste Mal eine Nachricht mit dem abonnierten Topic sendet. Mit "Retained Messages" bekommt der Abonnent den letzten Wert, der vor seiner Abonnementsanfrage an das Topic gesendet wurde, sofort zugestellt.</w:t>
      </w:r>
    </w:p>
    <w:p>
      <w:pPr>
        <w:pStyle w:val="berschrift3"/>
        <w:pageBreakBefore/>
      </w:pPr>
      <w:bookmarkStart w:id="36" w:name="_Toc520107701"/>
      <w:r>
        <w:lastRenderedPageBreak/>
        <w:t>MQTT-Kontrollpakete</w:t>
      </w:r>
      <w:bookmarkEnd w:id="36"/>
    </w:p>
    <w:p>
      <w:pPr>
        <w:pStyle w:val="Blocktext"/>
        <w:rPr>
          <w:lang w:eastAsia="ja-JP"/>
        </w:rPr>
      </w:pPr>
      <w:r>
        <w:rPr>
          <w:lang w:eastAsia="ja-JP"/>
        </w:rPr>
        <w:t>Die meisten MQTT-Kontrollpakete arbeiten nach dem Handshake-Verfahren. Der MQTT-Client ist immer das aktive Element und setzt einen Auftrag an den Broker ab. Der Broker bestätigt je nach Auftrag die Anfrage.</w:t>
      </w:r>
    </w:p>
    <w:p>
      <w:pPr>
        <w:pStyle w:val="Blocktext"/>
        <w:rPr>
          <w:lang w:eastAsia="ja-JP"/>
        </w:rPr>
      </w:pPr>
      <w:r>
        <w:rPr>
          <w:lang w:eastAsia="ja-JP"/>
        </w:rPr>
        <w:t>Die Struktur eines MQTT-Kontrollpaketes ist fest vorgegeben. Die folgende Grafik zeigt die Struktur:</w:t>
      </w:r>
    </w:p>
    <w:p>
      <w:pPr>
        <w:pStyle w:val="BildBeschriftungtextBreite"/>
      </w:pPr>
      <w:r>
        <w:t>Abbildung </w:t>
      </w:r>
      <w:fldSimple w:instr=" STYLEREF 1 \s ">
        <w:r>
          <w:rPr>
            <w:noProof/>
          </w:rPr>
          <w:t>3</w:t>
        </w:r>
      </w:fldSimple>
      <w:r>
        <w:noBreakHyphen/>
      </w:r>
      <w:fldSimple w:instr=" SEQ Abbildung \* ARABIC \s 1 ">
        <w:r>
          <w:rPr>
            <w:noProof/>
          </w:rPr>
          <w:t>1</w:t>
        </w:r>
      </w:fldSimple>
    </w:p>
    <w:p>
      <w:pPr>
        <w:pStyle w:val="Blocktext"/>
        <w:ind w:hanging="74"/>
      </w:pPr>
      <w:r>
        <w:object w:dxaOrig="3667" w:dyaOrig="5375">
          <v:shape id="_x0000_i1026" type="#_x0000_t75" style="width:271.25pt;height:129.2pt" o:ole="">
            <v:imagedata r:id="rId30" o:title="" croptop="8043f" cropbottom="40492f" cropleft="11928f" cropright="1340f"/>
          </v:shape>
          <o:OLEObject Type="Embed" ProgID="PowerPoint.Slide.12" ShapeID="_x0000_i1026" DrawAspect="Content" ObjectID="_1594465363" r:id="rId31"/>
        </w:object>
      </w:r>
    </w:p>
    <w:p>
      <w:pPr>
        <w:pStyle w:val="Blocktext"/>
      </w:pPr>
      <w:r>
        <w:t>Der "Fixed Header" besteht immer aus folgenden Elementen:</w:t>
      </w:r>
    </w:p>
    <w:p>
      <w:pPr>
        <w:pStyle w:val="BulletText1"/>
      </w:pPr>
      <w:r>
        <w:t>Eine Kennungsnummer für den MQTT-Kontrollpakettyp</w:t>
      </w:r>
    </w:p>
    <w:p>
      <w:pPr>
        <w:pStyle w:val="BulletText1"/>
      </w:pPr>
      <w:r>
        <w:t>Ein Bereich für mögliche Flags; falls keine Flags für das Kontrollpaket vorgesehen sind, werden die Bits als "reserved" gekennzeichnet</w:t>
      </w:r>
    </w:p>
    <w:p>
      <w:pPr>
        <w:pStyle w:val="BulletText1"/>
      </w:pPr>
      <w:r>
        <w:t>Die Anzahl der folgenden Bytes nach dem "Fixed Header"</w:t>
      </w:r>
    </w:p>
    <w:p>
      <w:pPr>
        <w:pStyle w:val="BulletText1"/>
        <w:numPr>
          <w:ilvl w:val="0"/>
          <w:numId w:val="0"/>
        </w:numPr>
        <w:ind w:left="1491" w:hanging="357"/>
      </w:pPr>
    </w:p>
    <w:p>
      <w:pPr>
        <w:pStyle w:val="Blocktext"/>
      </w:pPr>
      <w:r>
        <w:t xml:space="preserve">Der "Variable Header" ist nur bei einigen Kontrollpaketen erforderlich. Der Inhalt des "Variable Header" ist abhängig vom Kontrollpakettyp. </w:t>
      </w:r>
    </w:p>
    <w:p>
      <w:pPr>
        <w:pStyle w:val="Blocktext"/>
      </w:pPr>
      <w:r>
        <w:t>Der Payload ist bei den meisten Kontrollpaketen Pflicht. Auch hier ist der Inhalt vom Kontrollpakettyp abhängig. Für jedem Kontrollpakettyp gibt es klare Regelungen, mit was und in welcher Reihenfolge der Payload befüllt werden kann.</w:t>
      </w:r>
    </w:p>
    <w:p>
      <w:pPr>
        <w:pStyle w:val="Blocktext"/>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 xml:space="preserve">Eine genaue Beschreibung zu den MQTT-Kontrollpaketen finden Sie in der MQTT-Spezifikationsbeschreibung (siehe \3\ im </w:t>
            </w:r>
            <w:r>
              <w:rPr>
                <w:color w:val="0000FF"/>
                <w:u w:val="single"/>
              </w:rPr>
              <w:t xml:space="preserve">Kapitel </w:t>
            </w:r>
            <w:r>
              <w:rPr>
                <w:color w:val="0000FF"/>
                <w:u w:val="single"/>
              </w:rPr>
              <w:fldChar w:fldCharType="begin"/>
            </w:r>
            <w:r>
              <w:rPr>
                <w:color w:val="0000FF"/>
                <w:u w:val="single"/>
              </w:rPr>
              <w:instrText xml:space="preserve"> REF _Ref486333187 \r \h  \* MERGEFORMAT </w:instrText>
            </w:r>
            <w:r>
              <w:rPr>
                <w:color w:val="0000FF"/>
                <w:u w:val="single"/>
              </w:rPr>
            </w:r>
            <w:r>
              <w:rPr>
                <w:color w:val="0000FF"/>
                <w:u w:val="single"/>
              </w:rPr>
              <w:fldChar w:fldCharType="separate"/>
            </w:r>
            <w:r>
              <w:rPr>
                <w:color w:val="0000FF"/>
                <w:u w:val="single"/>
              </w:rPr>
              <w:t>4.2</w:t>
            </w:r>
            <w:r>
              <w:rPr>
                <w:color w:val="0000FF"/>
                <w:u w:val="single"/>
              </w:rPr>
              <w:fldChar w:fldCharType="end"/>
            </w:r>
            <w:r>
              <w:t>).</w:t>
            </w:r>
          </w:p>
        </w:tc>
      </w:tr>
    </w:tbl>
    <w:p>
      <w:pPr>
        <w:pStyle w:val="Blocktext"/>
        <w:ind w:left="0"/>
      </w:pPr>
    </w:p>
    <w:p>
      <w:pPr>
        <w:pStyle w:val="Blocktext"/>
        <w:rPr>
          <w:lang w:eastAsia="ja-JP"/>
        </w:rPr>
      </w:pPr>
      <w:r>
        <w:rPr>
          <w:lang w:eastAsia="ja-JP"/>
        </w:rPr>
        <w:t xml:space="preserve">Die MQTT-Kontrollpakete aus diesem Anwendungsbeispiel werden im Folgenden kurz erläutert. </w:t>
      </w:r>
    </w:p>
    <w:p>
      <w:pPr>
        <w:pStyle w:val="Blocktitel"/>
      </w:pPr>
      <w:r>
        <w:t>MQTT-Verbindung</w:t>
      </w:r>
    </w:p>
    <w:p>
      <w:pPr>
        <w:pStyle w:val="Blocktext"/>
      </w:pPr>
      <w:r>
        <w:t xml:space="preserve">Eine MQTT-Verbindung wird immer zwischen einem Client und dem </w:t>
      </w:r>
      <w:r>
        <w:rPr>
          <w:lang w:eastAsia="ja-JP"/>
        </w:rPr>
        <w:t>Broker</w:t>
      </w:r>
      <w:r>
        <w:t xml:space="preserve"> hergestellt. Eine direkte Client-Client-Verbindung ist nicht möglich.</w:t>
      </w:r>
    </w:p>
    <w:p>
      <w:pPr>
        <w:pStyle w:val="Blocktext"/>
      </w:pPr>
      <w:r>
        <w:t xml:space="preserve">Die Verbindung wird von einem Client initiiert, sobald der Client ein "CONNECT"-Paket an den </w:t>
      </w:r>
      <w:r>
        <w:rPr>
          <w:lang w:eastAsia="ja-JP"/>
        </w:rPr>
        <w:t>Broker</w:t>
      </w:r>
      <w:r>
        <w:t xml:space="preserve"> schickt. Im positiven Fall antwortet der </w:t>
      </w:r>
      <w:r>
        <w:rPr>
          <w:lang w:eastAsia="ja-JP"/>
        </w:rPr>
        <w:t>Broker</w:t>
      </w:r>
      <w:r>
        <w:t xml:space="preserve"> mit einem "CONNACK"-Paket und einem Statuscode.</w:t>
      </w:r>
      <w:r>
        <w:br/>
      </w:r>
    </w:p>
    <w:p>
      <w:pPr>
        <w:pStyle w:val="Blocktext"/>
      </w:pPr>
      <w:r>
        <w:t xml:space="preserve">In folgenden Fällen schließt der </w:t>
      </w:r>
      <w:r>
        <w:rPr>
          <w:lang w:eastAsia="ja-JP"/>
        </w:rPr>
        <w:t>Broker</w:t>
      </w:r>
      <w:r>
        <w:t xml:space="preserve"> sofort die Verbindung:</w:t>
      </w:r>
    </w:p>
    <w:p>
      <w:pPr>
        <w:pStyle w:val="BulletText1"/>
      </w:pPr>
      <w:r>
        <w:t>Wenn das "CONNECT"-Paket schadhaft ist</w:t>
      </w:r>
    </w:p>
    <w:p>
      <w:pPr>
        <w:pStyle w:val="BulletText1"/>
      </w:pPr>
      <w:r>
        <w:t>Wenn der Aufbau des "CONNECT"-Pakets nicht der Spezifikation entspricht</w:t>
      </w:r>
    </w:p>
    <w:p>
      <w:pPr>
        <w:pStyle w:val="BulletText1"/>
      </w:pPr>
      <w:r>
        <w:t>Wenn der Verbindungsaufbau zu lange dauert</w:t>
      </w:r>
    </w:p>
    <w:p>
      <w:pPr>
        <w:pStyle w:val="Blocktext"/>
      </w:pPr>
    </w:p>
    <w:p>
      <w:pPr>
        <w:pStyle w:val="Blocktext"/>
      </w:pPr>
      <w:r>
        <w:lastRenderedPageBreak/>
        <w:t>Ein "CONNECT"-Paket enthält im "Variable Header" einen Bereich für Flags. Das "CONNECT"-Flag-Byte beinhaltet eine Reihe an Parametern, die das Verhalten der MQTT-Verbindung spezifizieren. Zudem zeigt das "CONNECT"-Flag-Byte auch, welche optionalen Felder im "Payload" vorhanden sind oder nicht.</w:t>
      </w:r>
    </w:p>
    <w:p>
      <w:pPr>
        <w:pStyle w:val="Blocktext"/>
      </w:pPr>
      <w:r>
        <w:t>Im "Payload" sind folgende Felder zwingend notwendig:</w:t>
      </w:r>
    </w:p>
    <w:p>
      <w:pPr>
        <w:pStyle w:val="BulletText1"/>
      </w:pPr>
      <w:r>
        <w:t xml:space="preserve">Die "ClientID" dient zur Identifikation des Clients am </w:t>
      </w:r>
      <w:r>
        <w:rPr>
          <w:lang w:eastAsia="ja-JP"/>
        </w:rPr>
        <w:t>Broker</w:t>
      </w:r>
    </w:p>
    <w:p>
      <w:pPr>
        <w:pStyle w:val="BulletText1"/>
      </w:pPr>
      <w:r>
        <w:t xml:space="preserve">Mit der "CleanSession" kann die Verbindungsart geregelt werden </w:t>
      </w:r>
    </w:p>
    <w:p>
      <w:pPr>
        <w:pStyle w:val="BulletText1"/>
      </w:pPr>
      <w:r>
        <w:t xml:space="preserve">Mit der KeepAlive-Zeit wird das Zeitintervall bestimmt, in der sich der Client verpflichtend beim </w:t>
      </w:r>
      <w:r>
        <w:rPr>
          <w:lang w:eastAsia="ja-JP"/>
        </w:rPr>
        <w:t>Broker</w:t>
      </w:r>
      <w:r>
        <w:t xml:space="preserve"> melden muss. Das kann entweder durch das Senden einer Nachricht oder einem PING-Kommando erfolgen. Meldet sich der Client nicht in dem Zeitintervall, baut der </w:t>
      </w:r>
      <w:r>
        <w:rPr>
          <w:lang w:eastAsia="ja-JP"/>
        </w:rPr>
        <w:t>Broker</w:t>
      </w:r>
      <w:r>
        <w:t xml:space="preserve"> die Verbindung zum Client ab.</w:t>
      </w:r>
    </w:p>
    <w:p>
      <w:pPr>
        <w:pStyle w:val="Blocktext"/>
      </w:pPr>
      <w:r>
        <w:t>Optionale Felder sind z. B. Username, Passwort und Informationen über den letzten Willen ("Last Will").</w:t>
      </w:r>
    </w:p>
    <w:p>
      <w:pPr>
        <w:pStyle w:val="Blocktitel"/>
      </w:pPr>
      <w:r>
        <w:t>MQTT-Push-Mechanismus</w:t>
      </w:r>
    </w:p>
    <w:p>
      <w:pPr>
        <w:pStyle w:val="Blocktext"/>
      </w:pPr>
      <w:r>
        <w:t xml:space="preserve">Sobald sich ein MQTT-Client mit dem </w:t>
      </w:r>
      <w:r>
        <w:rPr>
          <w:lang w:eastAsia="ja-JP"/>
        </w:rPr>
        <w:t>Broker</w:t>
      </w:r>
      <w:r>
        <w:t xml:space="preserve"> verbunden hat, kann er Nachrichten an den </w:t>
      </w:r>
      <w:r>
        <w:rPr>
          <w:lang w:eastAsia="ja-JP"/>
        </w:rPr>
        <w:t>Broker</w:t>
      </w:r>
      <w:r>
        <w:t xml:space="preserve"> schicken. Dazu nutzt der Client das "PUBLISH"-Paket. Da die Nachrichten bei MQTT topic-basiert gefiltert und verwaltet werden, muss jede MQTT-Nachricht ein Topic beinhalten. Das Topic ist Teil des "Variable Header". Der eigentliche Nachrichtentext ist im "Payload" untergebracht.</w:t>
      </w:r>
    </w:p>
    <w:p>
      <w:pPr>
        <w:pStyle w:val="Blocktext"/>
      </w:pPr>
      <w:r>
        <w:t>Abhängig von der Einstellung der Qualitätssicherung ("QoS") endet an dieser Stelle der Push-Mechanismus oder es werden weitere Kontrollpakete ausgetauscht:</w:t>
      </w:r>
    </w:p>
    <w:p>
      <w:pPr>
        <w:pStyle w:val="Blocktext"/>
      </w:pPr>
      <w:r>
        <w:t>Bei QoS gleich "0" endet an dieser Stelle der Sendeauftrag.</w:t>
      </w:r>
    </w:p>
    <w:p>
      <w:pPr>
        <w:pStyle w:val="Blocktext"/>
      </w:pPr>
      <w:r>
        <w:t xml:space="preserve">Bei QoS gleich "1" quittiert der </w:t>
      </w:r>
      <w:r>
        <w:rPr>
          <w:lang w:eastAsia="ja-JP"/>
        </w:rPr>
        <w:t>Broker</w:t>
      </w:r>
      <w:r>
        <w:t xml:space="preserve"> das "PUBLISH"-Paket mit einem "PUBACK".</w:t>
      </w:r>
    </w:p>
    <w:p>
      <w:pPr>
        <w:pStyle w:val="Blocktext"/>
      </w:pPr>
      <w:r>
        <w:t xml:space="preserve">Bei QoS gleich "2" quittiert der </w:t>
      </w:r>
      <w:r>
        <w:rPr>
          <w:lang w:eastAsia="ja-JP"/>
        </w:rPr>
        <w:t>Broker</w:t>
      </w:r>
      <w:r>
        <w:t xml:space="preserve"> das "PUBLISH"-Paket mit einem "PUBREC". Daraufhin erfolgt ein weiterer Handshake zwischen Client und </w:t>
      </w:r>
      <w:r>
        <w:rPr>
          <w:lang w:eastAsia="ja-JP"/>
        </w:rPr>
        <w:t>Broker</w:t>
      </w:r>
      <w:r>
        <w:t xml:space="preserve">. Der Client beantwortet das "PUBREC" mit einem "PUBREL"-Paket. Der </w:t>
      </w:r>
      <w:r>
        <w:rPr>
          <w:lang w:eastAsia="ja-JP"/>
        </w:rPr>
        <w:t>Broker</w:t>
      </w:r>
      <w:r>
        <w:t xml:space="preserve"> komplettiert das zweifache Handshake mit einem "PUBCOM"-Paket.</w:t>
      </w: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 xml:space="preserve">Nähere Informationen zu der Qualitätssicherung QoS finden Sie in </w:t>
            </w:r>
            <w:r>
              <w:rPr>
                <w:color w:val="0000FF"/>
                <w:u w:val="single"/>
              </w:rPr>
              <w:t xml:space="preserve">Kapitel </w:t>
            </w:r>
            <w:r>
              <w:rPr>
                <w:color w:val="0000FF"/>
                <w:u w:val="single"/>
              </w:rPr>
              <w:fldChar w:fldCharType="begin"/>
            </w:r>
            <w:r>
              <w:rPr>
                <w:color w:val="0000FF"/>
                <w:u w:val="single"/>
              </w:rPr>
              <w:instrText xml:space="preserve"> REF _Ref486406181 \r \h  \* MERGEFORMAT </w:instrText>
            </w:r>
            <w:r>
              <w:rPr>
                <w:color w:val="0000FF"/>
                <w:u w:val="single"/>
              </w:rPr>
            </w:r>
            <w:r>
              <w:rPr>
                <w:color w:val="0000FF"/>
                <w:u w:val="single"/>
              </w:rPr>
              <w:fldChar w:fldCharType="separate"/>
            </w:r>
            <w:r>
              <w:rPr>
                <w:color w:val="0000FF"/>
                <w:u w:val="single"/>
              </w:rPr>
              <w:t>3.1.3</w:t>
            </w:r>
            <w:r>
              <w:rPr>
                <w:color w:val="0000FF"/>
                <w:u w:val="single"/>
              </w:rPr>
              <w:fldChar w:fldCharType="end"/>
            </w:r>
            <w:r>
              <w:t>.</w:t>
            </w:r>
          </w:p>
        </w:tc>
      </w:tr>
    </w:tbl>
    <w:p>
      <w:pPr>
        <w:pStyle w:val="Blocktitel"/>
      </w:pPr>
      <w:r>
        <w:t>MQTT-Ping-Mechanismus</w:t>
      </w:r>
    </w:p>
    <w:p>
      <w:pPr>
        <w:pStyle w:val="Blocktext"/>
      </w:pPr>
      <w:r>
        <w:t xml:space="preserve">Wenn die KeepAlive-Funktion aktiv ist (das KeepAlive-Intervall ist größer als "0"), muss der Client innerhalb des KeepAlive-Intervalls wenigstens eine Nachricht an den </w:t>
      </w:r>
      <w:r>
        <w:rPr>
          <w:lang w:eastAsia="ja-JP"/>
        </w:rPr>
        <w:t>Broker</w:t>
      </w:r>
      <w:r>
        <w:t xml:space="preserve"> schicken. Ist das nicht der Fall, muss der </w:t>
      </w:r>
      <w:r>
        <w:rPr>
          <w:lang w:eastAsia="ja-JP"/>
        </w:rPr>
        <w:t>Broker</w:t>
      </w:r>
      <w:r>
        <w:t xml:space="preserve"> die Verbindung zum Client beenden. Um solch einen Zwangsabbruch zu verhindern, muss der Client vor Ablauf der KeepAlive-Zeit ein Ping-Request an den </w:t>
      </w:r>
      <w:r>
        <w:rPr>
          <w:lang w:eastAsia="ja-JP"/>
        </w:rPr>
        <w:t>Broker</w:t>
      </w:r>
      <w:r>
        <w:t xml:space="preserve"> absetzen. Dafür dient das Kontrollpaket "PINGREQ". Der </w:t>
      </w:r>
      <w:r>
        <w:rPr>
          <w:lang w:eastAsia="ja-JP"/>
        </w:rPr>
        <w:t>Broker</w:t>
      </w:r>
      <w:r>
        <w:t xml:space="preserve"> antwortet mit einem "PINGRESP"-Paket und signalisiert dem Client damit seine Verfügbarkeit.</w:t>
      </w: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Dieses Anwendungsbeispiel setzt eine aktive KeepAlive-Funktion voraus. Das KeepAlive-Intervall muss größer als zwei Sekunden eingestellt sein.</w:t>
            </w:r>
          </w:p>
        </w:tc>
      </w:tr>
    </w:tbl>
    <w:p>
      <w:pPr>
        <w:pStyle w:val="Blocktitel"/>
      </w:pPr>
      <w:r>
        <w:t>MQTT-Verbindungsabbau</w:t>
      </w:r>
    </w:p>
    <w:p>
      <w:pPr>
        <w:pStyle w:val="Blocktext"/>
      </w:pPr>
      <w:r>
        <w:t xml:space="preserve">Ein Client kann die Verbindung zu einem </w:t>
      </w:r>
      <w:r>
        <w:rPr>
          <w:lang w:eastAsia="ja-JP"/>
        </w:rPr>
        <w:t>Broker</w:t>
      </w:r>
      <w:r>
        <w:t xml:space="preserve"> schließen, indem er ein "DISCONNECT"-Paket an den </w:t>
      </w:r>
      <w:r>
        <w:rPr>
          <w:lang w:eastAsia="ja-JP"/>
        </w:rPr>
        <w:t>Broker</w:t>
      </w:r>
      <w:r>
        <w:t xml:space="preserve"> schickt. Der </w:t>
      </w:r>
      <w:r>
        <w:rPr>
          <w:lang w:eastAsia="ja-JP"/>
        </w:rPr>
        <w:t>Broker</w:t>
      </w:r>
      <w:r>
        <w:t xml:space="preserve"> löscht daraufhin alle "Last Will and Testament"-Informationen. Da der Client aktiv und aus freien Willen die Verbindung hat, verschickt der </w:t>
      </w:r>
      <w:r>
        <w:rPr>
          <w:lang w:eastAsia="ja-JP"/>
        </w:rPr>
        <w:t>Broker</w:t>
      </w:r>
      <w:r>
        <w:t xml:space="preserve"> nicht seinen letzten Willen an die registrierten Abonnenten.</w:t>
      </w:r>
    </w:p>
    <w:p>
      <w:pPr>
        <w:pStyle w:val="berschrift2"/>
        <w:pageBreakBefore/>
      </w:pPr>
      <w:bookmarkStart w:id="37" w:name="_Toc520107702"/>
      <w:r>
        <w:lastRenderedPageBreak/>
        <w:t>Details zur Funktionsweise des FB "LMqtt_Publisher"</w:t>
      </w:r>
      <w:bookmarkEnd w:id="37"/>
    </w:p>
    <w:p>
      <w:pPr>
        <w:pStyle w:val="berschrift3"/>
      </w:pPr>
      <w:bookmarkStart w:id="38" w:name="_Toc520107703"/>
      <w:r>
        <w:t>Voraussetzungen und Umsetzung</w:t>
      </w:r>
      <w:bookmarkEnd w:id="38"/>
    </w:p>
    <w:p>
      <w:pPr>
        <w:pStyle w:val="Blocktext"/>
      </w:pPr>
      <w:r>
        <w:t>Für eine Kommunikationsbeziehung zwischen einem MQTT-Client und einem MQTT-Broker müssen folgende Voraussetzungen erfüllt sein:</w:t>
      </w:r>
    </w:p>
    <w:p>
      <w:pPr>
        <w:pStyle w:val="NummerierteListe"/>
        <w:numPr>
          <w:ilvl w:val="0"/>
          <w:numId w:val="21"/>
        </w:numPr>
      </w:pPr>
      <w:r>
        <w:t>Es wurde erfolgreich eine TCP-Verbindung zum MQTT-Broker aufgebaut (Status: "TCP_CONNECTED").</w:t>
      </w:r>
    </w:p>
    <w:p>
      <w:pPr>
        <w:pStyle w:val="NummerierteListe"/>
      </w:pPr>
      <w:r>
        <w:t>Der Funktionsbaustein "LMqtt_Publisher" hat sich über die bestehende TCP-Verbindung als MQTT-Client am Broker angemeldet und sich mit diesem verbunden (Status: "MQTT_CONNECTED").</w:t>
      </w:r>
    </w:p>
    <w:p>
      <w:pPr>
        <w:pStyle w:val="NummerierteListe"/>
      </w:pPr>
      <w:r>
        <w:t>Der Trigger zum Senden der Nachricht oder zum Erhalt der MQTT-Verbindung ("KeepAlive") ist aktiv. Abhängig von der gewünschten Qualitätssicherung wird die Nachricht an den Broker über die bestehende MQTT-Verbindung gesendet.</w:t>
      </w:r>
    </w:p>
    <w:p>
      <w:pPr>
        <w:pStyle w:val="NummerierteListe"/>
        <w:numPr>
          <w:ilvl w:val="0"/>
          <w:numId w:val="0"/>
        </w:numPr>
        <w:ind w:left="1495"/>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Ein MQTT-Verbindungsaufbau ist nur möglich, wenn die TCP-Verbindung zum Broker erfolgreich aufgebaut ist und anschließend gehalten wird.</w:t>
            </w:r>
          </w:p>
          <w:p>
            <w:pPr>
              <w:pStyle w:val="Hinweis"/>
            </w:pPr>
            <w:r>
              <w:t>Eine MQTT-Nachricht oder ein KeepAlive kann nur gesendet werden, wenn eine TCP- und MQTT-Verbindung zum Broker besteht.</w:t>
            </w:r>
          </w:p>
        </w:tc>
      </w:tr>
    </w:tbl>
    <w:p>
      <w:pPr>
        <w:pStyle w:val="Blocktitel"/>
      </w:pPr>
      <w:r>
        <w:t>Übersicht</w:t>
      </w:r>
    </w:p>
    <w:p>
      <w:pPr>
        <w:pStyle w:val="Blocktext"/>
      </w:pPr>
      <w:r>
        <w:t>Um die genannten Voraussetzungen zu erfüllen, wurden im Programm mehrere Zustandsautomaten realisiert:</w:t>
      </w:r>
    </w:p>
    <w:p>
      <w:pPr>
        <w:pStyle w:val="BulletText1"/>
      </w:pPr>
      <w:r>
        <w:t>Zustandsautomat "TCP": Verwaltung der TCP-Verbindung</w:t>
      </w:r>
    </w:p>
    <w:p>
      <w:pPr>
        <w:pStyle w:val="BulletText1"/>
      </w:pPr>
      <w:r>
        <w:t>Zustandsautomat "MQTT": Verwaltung der MQTT-Verbindung</w:t>
      </w:r>
    </w:p>
    <w:p>
      <w:pPr>
        <w:pStyle w:val="BulletText1"/>
      </w:pPr>
      <w:r>
        <w:t>Zustandsautomat "PUSH": Abwicklung des Sendevorgangs</w:t>
      </w:r>
    </w:p>
    <w:p>
      <w:pPr>
        <w:pStyle w:val="berschrift3"/>
      </w:pPr>
      <w:bookmarkStart w:id="39" w:name="_Toc520107704"/>
      <w:r>
        <w:t>Zustandsautomat "TCP"</w:t>
      </w:r>
      <w:bookmarkEnd w:id="39"/>
    </w:p>
    <w:p>
      <w:pPr>
        <w:pStyle w:val="Blocktext"/>
      </w:pPr>
      <w:r>
        <w:t>Der Zustandsautomat "TCP" wird gestartet, wenn am Eingangsparameter "enable" eine positive Flanke erkannt wurde. Dieser Zustandsautomat hat folgende Funktionen:</w:t>
      </w:r>
    </w:p>
    <w:p>
      <w:pPr>
        <w:pStyle w:val="BulletText1"/>
      </w:pPr>
      <w:r>
        <w:t>Er regelt den Aufbau der TCP-Verbindung</w:t>
      </w:r>
    </w:p>
    <w:p>
      <w:pPr>
        <w:pStyle w:val="BulletText1"/>
      </w:pPr>
      <w:r>
        <w:t>Er überwacht die bestehende TCP-Verbindung auf Verbindungsfehler, z. B. Kabelbruch</w:t>
      </w:r>
    </w:p>
    <w:p>
      <w:pPr>
        <w:pStyle w:val="BulletText1"/>
      </w:pPr>
      <w:r>
        <w:t>Wenn ein Fehler aufgetreten ist oder am Eingangsparameter "enable" keine positive Flanke erkannt wurde, setzt er alle statischen Variablen und die anderen Zustandsautomaten in einen definierten Zustand.</w:t>
      </w:r>
    </w:p>
    <w:p>
      <w:pPr>
        <w:pStyle w:val="Blocktext"/>
      </w:pPr>
      <w:r>
        <w:t>Der Zustandsautomat "TCP" beinhaltet folgende Zustände:</w:t>
      </w:r>
    </w:p>
    <w:p>
      <w:pPr>
        <w:pStyle w:val="BulletText1"/>
        <w:rPr>
          <w:lang w:val="en-US"/>
        </w:rPr>
      </w:pPr>
      <w:r>
        <w:rPr>
          <w:rFonts w:hint="eastAsia"/>
          <w:lang w:val="en-US"/>
        </w:rPr>
        <w:t>IDLE</w:t>
      </w:r>
    </w:p>
    <w:p>
      <w:pPr>
        <w:pStyle w:val="BulletText1"/>
        <w:rPr>
          <w:lang w:val="en-US"/>
        </w:rPr>
      </w:pPr>
      <w:r>
        <w:rPr>
          <w:lang w:val="en-US"/>
        </w:rPr>
        <w:t>TCP_</w:t>
      </w:r>
      <w:r>
        <w:rPr>
          <w:rFonts w:hint="eastAsia"/>
          <w:lang w:val="en-US"/>
        </w:rPr>
        <w:t>PARAM</w:t>
      </w:r>
    </w:p>
    <w:p>
      <w:pPr>
        <w:pStyle w:val="BulletText1"/>
        <w:rPr>
          <w:lang w:val="en-US"/>
        </w:rPr>
      </w:pPr>
      <w:r>
        <w:rPr>
          <w:lang w:val="en-US"/>
        </w:rPr>
        <w:t>TCP</w:t>
      </w:r>
      <w:r>
        <w:rPr>
          <w:rFonts w:hint="eastAsia"/>
          <w:lang w:val="en-US"/>
        </w:rPr>
        <w:t>_CONNECT</w:t>
      </w:r>
      <w:r>
        <w:rPr>
          <w:lang w:val="en-US"/>
        </w:rPr>
        <w:t>ING</w:t>
      </w:r>
    </w:p>
    <w:p>
      <w:pPr>
        <w:pStyle w:val="BulletText1"/>
        <w:rPr>
          <w:lang w:val="en-US"/>
        </w:rPr>
      </w:pPr>
      <w:r>
        <w:rPr>
          <w:lang w:val="en-US"/>
        </w:rPr>
        <w:t>TCP</w:t>
      </w:r>
      <w:r>
        <w:rPr>
          <w:rFonts w:hint="eastAsia"/>
          <w:lang w:val="en-US"/>
        </w:rPr>
        <w:t>_CONNECTED</w:t>
      </w:r>
    </w:p>
    <w:p>
      <w:pPr>
        <w:pStyle w:val="BulletText1"/>
        <w:rPr>
          <w:lang w:val="en-US"/>
        </w:rPr>
      </w:pPr>
      <w:r>
        <w:rPr>
          <w:lang w:val="en-US"/>
        </w:rPr>
        <w:t>TCP_DISCONNECT</w:t>
      </w:r>
    </w:p>
    <w:p>
      <w:pPr>
        <w:pStyle w:val="BulletText1"/>
        <w:rPr>
          <w:lang w:val="en-US"/>
        </w:rPr>
      </w:pPr>
      <w:r>
        <w:rPr>
          <w:lang w:val="en-US"/>
        </w:rPr>
        <w:t>TCP_ERROR</w:t>
      </w:r>
    </w:p>
    <w:p>
      <w:pPr>
        <w:pStyle w:val="Blocktext"/>
        <w:pageBreakBefore/>
      </w:pPr>
      <w:r>
        <w:lastRenderedPageBreak/>
        <w:t>Die Bedeutung der Zustände listet die folgende Tabelle</w:t>
      </w:r>
    </w:p>
    <w:p>
      <w:pPr>
        <w:pStyle w:val="TabellenBeschriftungTextBreite"/>
      </w:pPr>
      <w:r>
        <w:t>Tabelle </w:t>
      </w:r>
      <w:fldSimple w:instr=" STYLEREF 1 \s  \* MERGEFORMAT ">
        <w:r>
          <w:rPr>
            <w:noProof/>
          </w:rPr>
          <w:t>3</w:t>
        </w:r>
      </w:fldSimple>
      <w:r>
        <w:t>-</w:t>
      </w:r>
      <w:fldSimple w:instr=" SEQ Tabelle \* Arabic \s 1  \* MERGEFORMAT ">
        <w:r>
          <w:rPr>
            <w:noProof/>
          </w:rPr>
          <w:t>1</w:t>
        </w:r>
      </w:fldSimple>
    </w:p>
    <w:tbl>
      <w:tblPr>
        <w:tblStyle w:val="Tabellenraster"/>
        <w:tblW w:w="0" w:type="auto"/>
        <w:tblInd w:w="1247" w:type="dxa"/>
        <w:tblLook w:val="04A0" w:firstRow="1" w:lastRow="0" w:firstColumn="1" w:lastColumn="0" w:noHBand="0" w:noVBand="1"/>
      </w:tblPr>
      <w:tblGrid>
        <w:gridCol w:w="1887"/>
        <w:gridCol w:w="5587"/>
      </w:tblGrid>
      <w:tr>
        <w:trPr>
          <w:tblHeader/>
        </w:trPr>
        <w:tc>
          <w:tcPr>
            <w:tcW w:w="1887" w:type="dxa"/>
            <w:tcBorders>
              <w:bottom w:val="single" w:sz="12" w:space="0" w:color="auto"/>
            </w:tcBorders>
            <w:shd w:val="clear" w:color="auto" w:fill="E6E6E6"/>
          </w:tcPr>
          <w:p>
            <w:pPr>
              <w:pStyle w:val="TabelleKopfzentriert"/>
            </w:pPr>
            <w:r>
              <w:t>Zustand</w:t>
            </w:r>
          </w:p>
        </w:tc>
        <w:tc>
          <w:tcPr>
            <w:tcW w:w="5587" w:type="dxa"/>
            <w:tcBorders>
              <w:bottom w:val="single" w:sz="12" w:space="0" w:color="auto"/>
            </w:tcBorders>
            <w:shd w:val="clear" w:color="auto" w:fill="E6E6E6"/>
          </w:tcPr>
          <w:p>
            <w:pPr>
              <w:pStyle w:val="TabelleKopfzentriert"/>
            </w:pPr>
            <w:r>
              <w:t>Beschreibung</w:t>
            </w:r>
          </w:p>
        </w:tc>
      </w:tr>
      <w:tr>
        <w:tc>
          <w:tcPr>
            <w:tcW w:w="1887" w:type="dxa"/>
            <w:tcBorders>
              <w:top w:val="single" w:sz="12" w:space="0" w:color="auto"/>
            </w:tcBorders>
            <w:shd w:val="clear" w:color="auto" w:fill="auto"/>
          </w:tcPr>
          <w:p>
            <w:pPr>
              <w:pStyle w:val="TabelleTextlinks"/>
              <w:rPr>
                <w:lang w:val="en-US"/>
              </w:rPr>
            </w:pPr>
            <w:r>
              <w:rPr>
                <w:rFonts w:hint="eastAsia"/>
                <w:lang w:val="en-US"/>
              </w:rPr>
              <w:t>IDLE</w:t>
            </w:r>
          </w:p>
        </w:tc>
        <w:tc>
          <w:tcPr>
            <w:tcW w:w="5587" w:type="dxa"/>
            <w:tcBorders>
              <w:top w:val="single" w:sz="12" w:space="0" w:color="auto"/>
            </w:tcBorders>
            <w:shd w:val="clear" w:color="auto" w:fill="auto"/>
          </w:tcPr>
          <w:p>
            <w:pPr>
              <w:pStyle w:val="TabelleTextlinks"/>
            </w:pPr>
            <w:r>
              <w:t xml:space="preserve">Im Ruhezustand "IDLE" werden alle Parameter zurückgesetzt. </w:t>
            </w:r>
          </w:p>
          <w:p>
            <w:pPr>
              <w:pStyle w:val="TabelleTextlinks"/>
            </w:pPr>
            <w:r>
              <w:t>Der im Zustandsautomat wartet solange in diesem Zustand, bis er eine positive Flanke am Eingangsparameter "enable" erkennt. Sobald eine positive Flanke am Eingang anliegt, wird der Zustandsautomat in den Zustand "TCP_PARAM" versetzt.</w:t>
            </w:r>
          </w:p>
        </w:tc>
      </w:tr>
      <w:tr>
        <w:tc>
          <w:tcPr>
            <w:tcW w:w="1887" w:type="dxa"/>
            <w:shd w:val="clear" w:color="auto" w:fill="auto"/>
          </w:tcPr>
          <w:p>
            <w:pPr>
              <w:pStyle w:val="TabelleTextlinks"/>
              <w:rPr>
                <w:lang w:val="en-US"/>
              </w:rPr>
            </w:pPr>
            <w:r>
              <w:rPr>
                <w:lang w:val="en-US"/>
              </w:rPr>
              <w:t>TCP_</w:t>
            </w:r>
            <w:r>
              <w:rPr>
                <w:rFonts w:hint="eastAsia"/>
                <w:lang w:val="en-US"/>
              </w:rPr>
              <w:t>PARAM</w:t>
            </w:r>
          </w:p>
        </w:tc>
        <w:tc>
          <w:tcPr>
            <w:tcW w:w="5587" w:type="dxa"/>
            <w:shd w:val="clear" w:color="auto" w:fill="auto"/>
          </w:tcPr>
          <w:p>
            <w:pPr>
              <w:pStyle w:val="TabelleTextlinks"/>
            </w:pPr>
            <w:r>
              <w:t>In diesem Zustand werden alle Verbindungsparameter eingelesen. Der Funktionsbaustein wechselt ohne Weiterschaltbedingung in den Zustand "TCP_CONNECTING".</w:t>
            </w:r>
          </w:p>
        </w:tc>
      </w:tr>
      <w:tr>
        <w:tc>
          <w:tcPr>
            <w:tcW w:w="1887" w:type="dxa"/>
            <w:shd w:val="clear" w:color="auto" w:fill="auto"/>
          </w:tcPr>
          <w:p>
            <w:pPr>
              <w:pStyle w:val="TabelleTextlinks"/>
              <w:rPr>
                <w:lang w:val="en-US"/>
              </w:rPr>
            </w:pPr>
            <w:r>
              <w:rPr>
                <w:lang w:val="en-US"/>
              </w:rPr>
              <w:t>TCP</w:t>
            </w:r>
            <w:r>
              <w:rPr>
                <w:rFonts w:hint="eastAsia"/>
                <w:lang w:val="en-US"/>
              </w:rPr>
              <w:t>_CONNECT</w:t>
            </w:r>
            <w:r>
              <w:rPr>
                <w:lang w:val="en-US"/>
              </w:rPr>
              <w:t>ING</w:t>
            </w:r>
          </w:p>
        </w:tc>
        <w:tc>
          <w:tcPr>
            <w:tcW w:w="5587" w:type="dxa"/>
            <w:shd w:val="clear" w:color="auto" w:fill="auto"/>
          </w:tcPr>
          <w:p>
            <w:pPr>
              <w:pStyle w:val="TabelleTextlinks"/>
            </w:pPr>
            <w:r>
              <w:t>In diesem Zustand wird die TCP-Verbindung zum MQTT-Broker aufgebaut. Wenn die Verbindung mit "TCON" erfolgreich aufgebaut ist, wechselt der FB in den Zustand "TCP_CONNECTED" und die Ausgangsvariable "tcpConnected" wird gesetzt. Die TCP-Verbindung bleibt solange bestehen, bis sie mit "TDISCON" abgebaut wird.</w:t>
            </w:r>
          </w:p>
          <w:p>
            <w:pPr>
              <w:pStyle w:val="TabelleTextlinks"/>
            </w:pPr>
            <w:r>
              <w:t xml:space="preserve">Wenn beim Verbindungsaufbau ein Fehler auftritt, </w:t>
            </w:r>
            <w:r>
              <w:rPr>
                <w:rFonts w:hint="eastAsia"/>
              </w:rPr>
              <w:t xml:space="preserve">wechselt </w:t>
            </w:r>
            <w:r>
              <w:t xml:space="preserve">der Zustandsautomat </w:t>
            </w:r>
            <w:r>
              <w:rPr>
                <w:rFonts w:hint="eastAsia"/>
              </w:rPr>
              <w:t xml:space="preserve">in den Zustand </w:t>
            </w:r>
            <w:r>
              <w:t>"TCP_</w:t>
            </w:r>
            <w:r>
              <w:rPr>
                <w:rFonts w:hint="eastAsia"/>
              </w:rPr>
              <w:t>ERROR".</w:t>
            </w:r>
          </w:p>
        </w:tc>
      </w:tr>
      <w:tr>
        <w:tc>
          <w:tcPr>
            <w:tcW w:w="1887" w:type="dxa"/>
            <w:shd w:val="clear" w:color="auto" w:fill="auto"/>
          </w:tcPr>
          <w:p>
            <w:pPr>
              <w:pStyle w:val="TabelleTextlinks"/>
              <w:rPr>
                <w:lang w:val="en-US"/>
              </w:rPr>
            </w:pPr>
            <w:r>
              <w:rPr>
                <w:lang w:val="en-US"/>
              </w:rPr>
              <w:t>TCP</w:t>
            </w:r>
            <w:r>
              <w:rPr>
                <w:rFonts w:hint="eastAsia"/>
                <w:lang w:val="en-US"/>
              </w:rPr>
              <w:t>_CONNECTED</w:t>
            </w:r>
          </w:p>
        </w:tc>
        <w:tc>
          <w:tcPr>
            <w:tcW w:w="5587" w:type="dxa"/>
            <w:shd w:val="clear" w:color="auto" w:fill="auto"/>
          </w:tcPr>
          <w:p>
            <w:pPr>
              <w:pStyle w:val="TabelleTextlinks"/>
            </w:pPr>
            <w:r>
              <w:t>In diesem Zustand verwahrt der Funktionsbaustein solange bis folgende Ereignisse eintreten:</w:t>
            </w:r>
          </w:p>
          <w:p>
            <w:pPr>
              <w:pStyle w:val="TabelleBulletText1"/>
            </w:pPr>
            <w:r>
              <w:t>Der Baustein "TRCV" erkennt ein Verbindungsabbruch, z. B. durch Ziehen des Netzwerkkabel, und meldet einen Fehler.</w:t>
            </w:r>
          </w:p>
          <w:p>
            <w:pPr>
              <w:pStyle w:val="TabelleBulletText1"/>
            </w:pPr>
            <w:r>
              <w:t>Der Eingangsparameter "enable" wird zurückgesetzt und stößt damit den Verbindungsabbau an.</w:t>
            </w:r>
          </w:p>
          <w:p>
            <w:pPr>
              <w:pStyle w:val="TabelleTextlinks"/>
            </w:pPr>
            <w:r>
              <w:t xml:space="preserve">Wenn der "TRCV"-Baustein einen Fehler erkennt, </w:t>
            </w:r>
            <w:r>
              <w:rPr>
                <w:rFonts w:hint="eastAsia"/>
              </w:rPr>
              <w:t xml:space="preserve">wechselt </w:t>
            </w:r>
            <w:r>
              <w:t xml:space="preserve">der Zustandsautomat </w:t>
            </w:r>
            <w:r>
              <w:rPr>
                <w:rFonts w:hint="eastAsia"/>
              </w:rPr>
              <w:t xml:space="preserve">in den Zustand </w:t>
            </w:r>
            <w:r>
              <w:t>"TCP_</w:t>
            </w:r>
            <w:r>
              <w:rPr>
                <w:rFonts w:hint="eastAsia"/>
              </w:rPr>
              <w:t>ERROR".</w:t>
            </w:r>
          </w:p>
          <w:p>
            <w:pPr>
              <w:pStyle w:val="TabelleTextlinks"/>
            </w:pPr>
            <w:r>
              <w:t xml:space="preserve">Der Zustand "TCP_CONNECTED" ist Voraussetzung für die Abarbeitung des Zustandsautomaten "MQTT". </w:t>
            </w:r>
          </w:p>
        </w:tc>
      </w:tr>
      <w:tr>
        <w:tc>
          <w:tcPr>
            <w:tcW w:w="1887" w:type="dxa"/>
            <w:shd w:val="clear" w:color="auto" w:fill="auto"/>
          </w:tcPr>
          <w:p>
            <w:pPr>
              <w:pStyle w:val="TabelleTextlinks"/>
              <w:rPr>
                <w:lang w:val="en-US"/>
              </w:rPr>
            </w:pPr>
            <w:r>
              <w:rPr>
                <w:lang w:val="en-US"/>
              </w:rPr>
              <w:t>TCP_DISCONNECT</w:t>
            </w:r>
          </w:p>
        </w:tc>
        <w:tc>
          <w:tcPr>
            <w:tcW w:w="5587" w:type="dxa"/>
            <w:shd w:val="clear" w:color="auto" w:fill="auto"/>
          </w:tcPr>
          <w:p>
            <w:pPr>
              <w:pStyle w:val="TabelleTextlinks"/>
            </w:pPr>
            <w:r>
              <w:t xml:space="preserve">In diesem Zustand wird die TCP-Verbindung abgebaut. Wenn der "TDISCON"-Baustein einen Fehler erkennt, </w:t>
            </w:r>
            <w:r>
              <w:rPr>
                <w:rFonts w:hint="eastAsia"/>
              </w:rPr>
              <w:t xml:space="preserve">wechselt </w:t>
            </w:r>
            <w:r>
              <w:t xml:space="preserve">der Zustandsautomat </w:t>
            </w:r>
            <w:r>
              <w:rPr>
                <w:rFonts w:hint="eastAsia"/>
              </w:rPr>
              <w:t xml:space="preserve">in den Zustand </w:t>
            </w:r>
            <w:r>
              <w:t>"TCP_</w:t>
            </w:r>
            <w:r>
              <w:rPr>
                <w:rFonts w:hint="eastAsia"/>
              </w:rPr>
              <w:t>ERROR".</w:t>
            </w:r>
          </w:p>
        </w:tc>
      </w:tr>
      <w:tr>
        <w:tc>
          <w:tcPr>
            <w:tcW w:w="1887" w:type="dxa"/>
            <w:shd w:val="clear" w:color="auto" w:fill="auto"/>
          </w:tcPr>
          <w:p>
            <w:pPr>
              <w:pStyle w:val="TabelleTextlinks"/>
              <w:rPr>
                <w:lang w:val="en-US"/>
              </w:rPr>
            </w:pPr>
            <w:r>
              <w:rPr>
                <w:lang w:val="en-US"/>
              </w:rPr>
              <w:t>TCP_ERROR</w:t>
            </w:r>
          </w:p>
        </w:tc>
        <w:tc>
          <w:tcPr>
            <w:tcW w:w="5587" w:type="dxa"/>
            <w:shd w:val="clear" w:color="auto" w:fill="auto"/>
          </w:tcPr>
          <w:p>
            <w:pPr>
              <w:pStyle w:val="TabelleTextlinks"/>
            </w:pPr>
            <w:r>
              <w:t>Wenn ein Fehler im Zustandsautomaten "TCP" eintritt, ist der Zustand "TCP_ERROR" die zentrale Anlaufstelle. Hier werden die erforderlichen Parameter (statische Variablen und Ausgangsvariablen) gesetzt bzw. zurückgesetzt und die MQTT-Verbindung abgebrochen. Zudem werden folgende Aktionen ausgeführt:</w:t>
            </w:r>
          </w:p>
          <w:p>
            <w:pPr>
              <w:pStyle w:val="TabelleBulletText1"/>
            </w:pPr>
            <w:r>
              <w:t>Die Fehlermeldung des beteiligten T-Bausteins wird am Ausgang "status" übergeben.</w:t>
            </w:r>
          </w:p>
          <w:p>
            <w:pPr>
              <w:pStyle w:val="TabelleBulletText1"/>
            </w:pPr>
            <w:r>
              <w:t>Am Ausgang "statusID" wird die Nummer des Zustand ausgegeben, in dem der Fehler aufgetreten ist</w:t>
            </w:r>
          </w:p>
          <w:p>
            <w:pPr>
              <w:pStyle w:val="TabelleBulletText1"/>
            </w:pPr>
            <w:r>
              <w:t>Der Zustandsautomat kehrt zurück in den "IDLE"-Zustand. Wenn bereits eine TCP-Verbindung besteht, wird diese vorher abgebaut. Die Ausgangsvariable "tcpConnected" wird zurückgesetzt.</w:t>
            </w:r>
          </w:p>
          <w:p>
            <w:pPr>
              <w:pStyle w:val="TabelleBulletText1"/>
            </w:pPr>
            <w:r>
              <w:t>Der Zustandsautomat "MQTT" wird in den Zustand "MQTT_DISCONNECTED" versetzt.</w:t>
            </w:r>
          </w:p>
        </w:tc>
      </w:tr>
    </w:tbl>
    <w:p>
      <w:pPr>
        <w:pStyle w:val="Blocktext"/>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Hinweis</w:t>
            </w:r>
          </w:p>
        </w:tc>
        <w:tc>
          <w:tcPr>
            <w:tcW w:w="7391" w:type="dxa"/>
            <w:shd w:val="pct15" w:color="auto" w:fill="FFFFFF"/>
          </w:tcPr>
          <w:p>
            <w:pPr>
              <w:pStyle w:val="Hinweis"/>
            </w:pPr>
            <w:r>
              <w:t>Der Funktionsbaustein "LMqtt_Publisher" ist im Fehlerfall nicht „selbstheilend“. Das bedeutet, dass der Funktionsbaustein zurück in den Zustand "IDLE" verfällt und solange dort verweilt, bis eine erneute positive Flanke am Eingangsparameter "enable“ erkannt wurde.</w:t>
            </w:r>
          </w:p>
        </w:tc>
      </w:tr>
    </w:tbl>
    <w:p>
      <w:pPr>
        <w:pStyle w:val="Blocktext"/>
      </w:pPr>
    </w:p>
    <w:p>
      <w:pPr>
        <w:pStyle w:val="berschrift3"/>
      </w:pPr>
      <w:bookmarkStart w:id="40" w:name="_Toc520107705"/>
      <w:r>
        <w:lastRenderedPageBreak/>
        <w:t>Zustandsautomat "MQTT"</w:t>
      </w:r>
      <w:bookmarkEnd w:id="40"/>
    </w:p>
    <w:p>
      <w:pPr>
        <w:pStyle w:val="Blocktext"/>
      </w:pPr>
      <w:r>
        <w:t>Der Zustandsautomat "MQTT" wird automatisch gestartet, wenn der Zustandsautomat "TCP" den Zustand "TCP_CONNECTED" erreicht. Dieser Zustandsautomat hat folgende Funktionen:</w:t>
      </w:r>
    </w:p>
    <w:p>
      <w:pPr>
        <w:pStyle w:val="BulletText1"/>
      </w:pPr>
      <w:r>
        <w:t>Er regelt das Handshake-Verfahren zum Aufbau der MQTT-Verbindung</w:t>
      </w:r>
    </w:p>
    <w:p>
      <w:pPr>
        <w:pStyle w:val="BulletText1"/>
      </w:pPr>
      <w:r>
        <w:t>Er sorgt für den Verbindungsabbau</w:t>
      </w:r>
    </w:p>
    <w:p>
      <w:pPr>
        <w:pStyle w:val="BulletText1"/>
      </w:pPr>
      <w:r>
        <w:t>Er verwaltet den internen Zustandsautomaten "PUSH", um Nachrichten zu senden</w:t>
      </w:r>
    </w:p>
    <w:p>
      <w:pPr>
        <w:pStyle w:val="BulletText1"/>
      </w:pPr>
      <w:r>
        <w:t>Er kümmert sich, dass vor Ablauf des KeepAlive-Intervalls ein PING-Paket verschickt wird.</w:t>
      </w:r>
    </w:p>
    <w:p>
      <w:pPr>
        <w:pStyle w:val="Blocktext"/>
      </w:pPr>
      <w:r>
        <w:t>Der Zustandsautomat "MQTT" beinhaltet folgende Zustände</w:t>
      </w:r>
    </w:p>
    <w:p>
      <w:pPr>
        <w:pStyle w:val="BulletText1"/>
      </w:pPr>
      <w:r>
        <w:t>MQTT_DISCONNECTED</w:t>
      </w:r>
    </w:p>
    <w:p>
      <w:pPr>
        <w:pStyle w:val="BulletText1"/>
      </w:pPr>
      <w:r>
        <w:t>MQTT_CONNECT_FLAG_CHECK</w:t>
      </w:r>
    </w:p>
    <w:p>
      <w:pPr>
        <w:pStyle w:val="BulletText1"/>
      </w:pPr>
      <w:r>
        <w:t>MQTT_CONNECT</w:t>
      </w:r>
    </w:p>
    <w:p>
      <w:pPr>
        <w:pStyle w:val="BulletText1"/>
      </w:pPr>
      <w:r>
        <w:t>MQTT_CONNACK</w:t>
      </w:r>
    </w:p>
    <w:p>
      <w:pPr>
        <w:pStyle w:val="BulletText1"/>
      </w:pPr>
      <w:r>
        <w:t>MQTT_CONNECTED</w:t>
      </w:r>
    </w:p>
    <w:p>
      <w:pPr>
        <w:pStyle w:val="BulletText1"/>
      </w:pPr>
      <w:r>
        <w:t>MQTT_DISCONNECT</w:t>
      </w:r>
    </w:p>
    <w:p>
      <w:pPr>
        <w:pStyle w:val="BulletText1"/>
      </w:pPr>
      <w:r>
        <w:t>MQTT_ERROR</w:t>
      </w:r>
    </w:p>
    <w:p>
      <w:pPr>
        <w:pStyle w:val="Blocktext"/>
      </w:pPr>
      <w:r>
        <w:t>Die Bedeutung der Zustände listet die folgende Tabelle:</w:t>
      </w:r>
    </w:p>
    <w:p>
      <w:pPr>
        <w:pStyle w:val="TabellenBeschriftungTextBreite"/>
      </w:pPr>
      <w:r>
        <w:t>Tabelle </w:t>
      </w:r>
      <w:fldSimple w:instr=" STYLEREF 1 \s  \* MERGEFORMAT ">
        <w:r>
          <w:rPr>
            <w:noProof/>
          </w:rPr>
          <w:t>3</w:t>
        </w:r>
      </w:fldSimple>
      <w:r>
        <w:t>-</w:t>
      </w:r>
      <w:fldSimple w:instr=" SEQ Tabelle \* Arabic \s 1  \* MERGEFORMAT ">
        <w:r>
          <w:rPr>
            <w:noProof/>
          </w:rPr>
          <w:t>2</w:t>
        </w:r>
      </w:fldSimple>
    </w:p>
    <w:tbl>
      <w:tblPr>
        <w:tblStyle w:val="Tabellenraster"/>
        <w:tblW w:w="0" w:type="auto"/>
        <w:tblInd w:w="1247" w:type="dxa"/>
        <w:tblLayout w:type="fixed"/>
        <w:tblLook w:val="04A0" w:firstRow="1" w:lastRow="0" w:firstColumn="1" w:lastColumn="0" w:noHBand="0" w:noVBand="1"/>
      </w:tblPr>
      <w:tblGrid>
        <w:gridCol w:w="2405"/>
        <w:gridCol w:w="5069"/>
      </w:tblGrid>
      <w:tr>
        <w:trPr>
          <w:tblHeader/>
        </w:trPr>
        <w:tc>
          <w:tcPr>
            <w:tcW w:w="2405" w:type="dxa"/>
            <w:tcBorders>
              <w:bottom w:val="single" w:sz="12" w:space="0" w:color="auto"/>
            </w:tcBorders>
            <w:shd w:val="clear" w:color="auto" w:fill="E6E6E6"/>
          </w:tcPr>
          <w:p>
            <w:pPr>
              <w:pStyle w:val="TabelleKopfzentriert"/>
            </w:pPr>
            <w:r>
              <w:t>Zustand</w:t>
            </w:r>
          </w:p>
        </w:tc>
        <w:tc>
          <w:tcPr>
            <w:tcW w:w="5069" w:type="dxa"/>
            <w:tcBorders>
              <w:bottom w:val="single" w:sz="12" w:space="0" w:color="auto"/>
            </w:tcBorders>
            <w:shd w:val="clear" w:color="auto" w:fill="E6E6E6"/>
          </w:tcPr>
          <w:p>
            <w:pPr>
              <w:pStyle w:val="TabelleKopfzentriert"/>
            </w:pPr>
            <w:r>
              <w:t>Beschreibung</w:t>
            </w:r>
          </w:p>
        </w:tc>
      </w:tr>
      <w:tr>
        <w:tc>
          <w:tcPr>
            <w:tcW w:w="2405" w:type="dxa"/>
            <w:tcBorders>
              <w:top w:val="single" w:sz="12" w:space="0" w:color="auto"/>
            </w:tcBorders>
            <w:shd w:val="clear" w:color="auto" w:fill="auto"/>
          </w:tcPr>
          <w:p>
            <w:pPr>
              <w:pStyle w:val="TabelleTextlinks"/>
              <w:rPr>
                <w:lang w:val="en-US"/>
              </w:rPr>
            </w:pPr>
            <w:r>
              <w:rPr>
                <w:lang w:val="en-US"/>
              </w:rPr>
              <w:t>MQTT_DISCONNECTED</w:t>
            </w:r>
          </w:p>
        </w:tc>
        <w:tc>
          <w:tcPr>
            <w:tcW w:w="5069" w:type="dxa"/>
            <w:tcBorders>
              <w:top w:val="single" w:sz="12" w:space="0" w:color="auto"/>
            </w:tcBorders>
            <w:shd w:val="clear" w:color="auto" w:fill="auto"/>
          </w:tcPr>
          <w:p>
            <w:pPr>
              <w:pStyle w:val="TabelleTextlinks"/>
            </w:pPr>
            <w:r>
              <w:t>Solange keine TCP-Verbindung besteht, ist der Zustand immer "MQTT_DISCONNECTED".</w:t>
            </w:r>
          </w:p>
          <w:p>
            <w:pPr>
              <w:pStyle w:val="TabelleTextlinks"/>
            </w:pPr>
            <w:r>
              <w:t>Erst wenn eine TCP-Verbindung aufgebaut ist, wird automatisch die Weiterschaltbedingung auf den Zustand "MQTT_CONNECT_FLAG_CHECK" aktiviert.</w:t>
            </w:r>
          </w:p>
        </w:tc>
      </w:tr>
      <w:tr>
        <w:tc>
          <w:tcPr>
            <w:tcW w:w="2405" w:type="dxa"/>
            <w:shd w:val="clear" w:color="auto" w:fill="auto"/>
          </w:tcPr>
          <w:p>
            <w:pPr>
              <w:pStyle w:val="BulletText1"/>
              <w:numPr>
                <w:ilvl w:val="0"/>
                <w:numId w:val="0"/>
              </w:numPr>
            </w:pPr>
            <w:r>
              <w:t>MQTT_CONNECT_FLAG_CHECK</w:t>
            </w:r>
          </w:p>
          <w:p>
            <w:pPr>
              <w:pStyle w:val="TabelleTextlinks"/>
              <w:rPr>
                <w:lang w:val="en-US"/>
              </w:rPr>
            </w:pPr>
          </w:p>
        </w:tc>
        <w:tc>
          <w:tcPr>
            <w:tcW w:w="5069" w:type="dxa"/>
            <w:shd w:val="clear" w:color="auto" w:fill="auto"/>
          </w:tcPr>
          <w:p>
            <w:pPr>
              <w:pStyle w:val="TabelleTextlinks"/>
            </w:pPr>
            <w:r>
              <w:t>In diesem Zustand werden die Flags und Parameter für den MQTT-Verbindungsaufbau eingelesen und validiert. Wenn es bei der Überprüfung zu Unstimmigkeiten kommt, wechselt der Zustandsautomat in den Zustand "MQTT_ERROR" und es wird eine entsprechende Fehlermeldung am Ausgangsparameter "status" ausgegeben. Im fehlerfreien Zustand wechselt der Zustandsautomat ohne Weiterschaltbedingung in den Zustand "MQTT_CONNECT".</w:t>
            </w:r>
          </w:p>
        </w:tc>
      </w:tr>
      <w:tr>
        <w:tc>
          <w:tcPr>
            <w:tcW w:w="2405" w:type="dxa"/>
            <w:shd w:val="clear" w:color="auto" w:fill="auto"/>
          </w:tcPr>
          <w:p>
            <w:pPr>
              <w:pStyle w:val="TabelleTextlinks"/>
              <w:rPr>
                <w:lang w:val="en-US"/>
              </w:rPr>
            </w:pPr>
            <w:r>
              <w:rPr>
                <w:lang w:val="en-US"/>
              </w:rPr>
              <w:t>MQTT_CONNECT</w:t>
            </w:r>
          </w:p>
        </w:tc>
        <w:tc>
          <w:tcPr>
            <w:tcW w:w="5069" w:type="dxa"/>
            <w:shd w:val="clear" w:color="auto" w:fill="auto"/>
          </w:tcPr>
          <w:p>
            <w:pPr>
              <w:pStyle w:val="TabelleTextlinks"/>
            </w:pPr>
            <w:r>
              <w:t xml:space="preserve">In diesem Zustand wird die MQTT-Verbindung zum MQTT-Broker aufgebaut. Dafür wird ein "CONNECT"-Paket mit den eingelesenen Parametern zusammengebaut und an den </w:t>
            </w:r>
            <w:r>
              <w:rPr>
                <w:lang w:eastAsia="ja-JP"/>
              </w:rPr>
              <w:t>Broker</w:t>
            </w:r>
            <w:r>
              <w:t xml:space="preserve"> mit dem "TSEND"-Baustein geschickt.</w:t>
            </w:r>
          </w:p>
          <w:p>
            <w:pPr>
              <w:pStyle w:val="TabelleTextlinks"/>
            </w:pPr>
            <w:r>
              <w:t xml:space="preserve">Wenn beim Senden des "CONNECT"-Pakets ein Fehler auftritt, </w:t>
            </w:r>
            <w:r>
              <w:rPr>
                <w:rFonts w:hint="eastAsia"/>
              </w:rPr>
              <w:t xml:space="preserve">wechselt </w:t>
            </w:r>
            <w:r>
              <w:t xml:space="preserve">der Zustandsautomat </w:t>
            </w:r>
            <w:r>
              <w:rPr>
                <w:rFonts w:hint="eastAsia"/>
              </w:rPr>
              <w:t xml:space="preserve">in den Zustand </w:t>
            </w:r>
            <w:r>
              <w:t>"MQTT_</w:t>
            </w:r>
            <w:r>
              <w:rPr>
                <w:rFonts w:hint="eastAsia"/>
              </w:rPr>
              <w:t>ERROR".</w:t>
            </w:r>
            <w:r>
              <w:br/>
              <w:t>Wenn das "CONNECT"-Paket erfolgreich versendet wurde, wechselt der Zustandsautomat in den Zustand "MQTT_CONNACK".</w:t>
            </w:r>
          </w:p>
        </w:tc>
      </w:tr>
      <w:tr>
        <w:tc>
          <w:tcPr>
            <w:tcW w:w="2405" w:type="dxa"/>
            <w:shd w:val="clear" w:color="auto" w:fill="auto"/>
          </w:tcPr>
          <w:p>
            <w:pPr>
              <w:pStyle w:val="TabelleTextlinks"/>
              <w:rPr>
                <w:lang w:val="en-US"/>
              </w:rPr>
            </w:pPr>
            <w:r>
              <w:rPr>
                <w:lang w:val="en-US"/>
              </w:rPr>
              <w:t>MQTT_CONNACK</w:t>
            </w:r>
          </w:p>
        </w:tc>
        <w:tc>
          <w:tcPr>
            <w:tcW w:w="5069" w:type="dxa"/>
            <w:shd w:val="clear" w:color="auto" w:fill="auto"/>
          </w:tcPr>
          <w:p>
            <w:pPr>
              <w:pStyle w:val="TabelleTextlinks"/>
            </w:pPr>
            <w:r>
              <w:t xml:space="preserve">In diesem Zustand verwahrt der Zustandsautomat solange, bis der Baustein "TRCV" eine Nachricht empfängt. Es wird überprüft, ob es sich um ein "CONNACK"-Paket handelt. Wenn der </w:t>
            </w:r>
            <w:r>
              <w:rPr>
                <w:lang w:eastAsia="ja-JP"/>
              </w:rPr>
              <w:t>Broker</w:t>
            </w:r>
            <w:r>
              <w:t xml:space="preserve"> den Verbindungswunsch mit "CONNACK" bestätigt hat, wechselt der Zustandsautomat in den Zustand "MQTT_CONNECTED" und die Ausgangsvariable "mqttConnected" wird gesetzt. Das KeepAlive-Intervall wird bei Bedarf gestartet.</w:t>
            </w:r>
          </w:p>
          <w:p>
            <w:pPr>
              <w:pStyle w:val="TabelleTextlinks"/>
            </w:pPr>
            <w:r>
              <w:lastRenderedPageBreak/>
              <w:t xml:space="preserve">Wenn der "TRCV"-Baustein einen Fehler erkennt, </w:t>
            </w:r>
            <w:r>
              <w:rPr>
                <w:rFonts w:hint="eastAsia"/>
              </w:rPr>
              <w:t xml:space="preserve">wechselt </w:t>
            </w:r>
            <w:r>
              <w:t xml:space="preserve">der Zustandsautomat </w:t>
            </w:r>
            <w:r>
              <w:rPr>
                <w:rFonts w:hint="eastAsia"/>
              </w:rPr>
              <w:t xml:space="preserve">in den Zustand </w:t>
            </w:r>
            <w:r>
              <w:t>"MQTT_</w:t>
            </w:r>
            <w:r>
              <w:rPr>
                <w:rFonts w:hint="eastAsia"/>
              </w:rPr>
              <w:t>ERROR".</w:t>
            </w:r>
          </w:p>
        </w:tc>
      </w:tr>
      <w:tr>
        <w:tc>
          <w:tcPr>
            <w:tcW w:w="2405" w:type="dxa"/>
            <w:shd w:val="clear" w:color="auto" w:fill="auto"/>
          </w:tcPr>
          <w:p>
            <w:pPr>
              <w:pStyle w:val="TabelleTextlinks"/>
              <w:rPr>
                <w:lang w:val="en-US"/>
              </w:rPr>
            </w:pPr>
            <w:r>
              <w:rPr>
                <w:lang w:val="en-US"/>
              </w:rPr>
              <w:lastRenderedPageBreak/>
              <w:t>MQTT_CONNECTED</w:t>
            </w:r>
          </w:p>
        </w:tc>
        <w:tc>
          <w:tcPr>
            <w:tcW w:w="5069" w:type="dxa"/>
            <w:shd w:val="clear" w:color="auto" w:fill="auto"/>
          </w:tcPr>
          <w:p>
            <w:pPr>
              <w:pStyle w:val="TabelleTextlinks"/>
            </w:pPr>
            <w:r>
              <w:t xml:space="preserve">In diesem Zustand verwahrt der Funktionsbaustein solange, bis die MQTT-Verbindung oder TCP-Verbindung abgebaut wird. In dem Zustand "MQTT_CONNECTED" werden folgende Punkte zyklisch geprüft: </w:t>
            </w:r>
          </w:p>
          <w:p>
            <w:pPr>
              <w:pStyle w:val="TabelleBulletText1"/>
            </w:pPr>
            <w:r>
              <w:t>Liegt ein Sendeanstoß für eine MQTT-Nachricht vor?</w:t>
            </w:r>
          </w:p>
          <w:p>
            <w:pPr>
              <w:pStyle w:val="TabelleBulletText1"/>
            </w:pPr>
            <w:r>
              <w:t xml:space="preserve">Endet bald das KeepAlive-Intervall und ein PING-Befehl muss an den </w:t>
            </w:r>
            <w:r>
              <w:rPr>
                <w:lang w:eastAsia="ja-JP"/>
              </w:rPr>
              <w:t>Broker</w:t>
            </w:r>
            <w:r>
              <w:t xml:space="preserve"> geschickt werden?</w:t>
            </w:r>
          </w:p>
          <w:p>
            <w:pPr>
              <w:pStyle w:val="TabelleBulletText1"/>
              <w:numPr>
                <w:ilvl w:val="0"/>
                <w:numId w:val="0"/>
              </w:numPr>
            </w:pPr>
            <w:r>
              <w:t>Je nach Ausgang der Prüfung wird der interne Zustandsautomat "PUSH" in den entsprechenden Zustand versetzt, um die gewünschte Routine auszuführen.</w:t>
            </w:r>
          </w:p>
        </w:tc>
      </w:tr>
      <w:tr>
        <w:tc>
          <w:tcPr>
            <w:tcW w:w="2405" w:type="dxa"/>
            <w:shd w:val="clear" w:color="auto" w:fill="auto"/>
          </w:tcPr>
          <w:p>
            <w:pPr>
              <w:pStyle w:val="TabelleTextlinks"/>
              <w:rPr>
                <w:lang w:val="en-US"/>
              </w:rPr>
            </w:pPr>
            <w:r>
              <w:rPr>
                <w:lang w:val="en-US"/>
              </w:rPr>
              <w:t>MQTT_DISCONNECT</w:t>
            </w:r>
          </w:p>
        </w:tc>
        <w:tc>
          <w:tcPr>
            <w:tcW w:w="5069" w:type="dxa"/>
            <w:shd w:val="clear" w:color="auto" w:fill="auto"/>
          </w:tcPr>
          <w:p>
            <w:pPr>
              <w:pStyle w:val="TabelleTextlinks"/>
            </w:pPr>
            <w:r>
              <w:t xml:space="preserve">Wenn der Eingangsparameter "enable" zurückgesetzt wird, wird die MQTT-Verbindung abgebaut. Dafür wird ein "DISCONNECT"-Paket zusammengebaut und mit dem "TSEND"-Baustein an den </w:t>
            </w:r>
            <w:r>
              <w:rPr>
                <w:lang w:eastAsia="ja-JP"/>
              </w:rPr>
              <w:t>Broker</w:t>
            </w:r>
            <w:r>
              <w:t xml:space="preserve"> verschickt.</w:t>
            </w:r>
          </w:p>
          <w:p>
            <w:pPr>
              <w:pStyle w:val="TabelleTextlinks"/>
            </w:pPr>
            <w:r>
              <w:t xml:space="preserve">Wenn beim Senden des "DISCONNECT"-Pakets ein Fehler auftritt, </w:t>
            </w:r>
            <w:r>
              <w:rPr>
                <w:rFonts w:hint="eastAsia"/>
              </w:rPr>
              <w:t xml:space="preserve">wechselt </w:t>
            </w:r>
            <w:r>
              <w:t xml:space="preserve">der Zustandsautomat </w:t>
            </w:r>
            <w:r>
              <w:rPr>
                <w:rFonts w:hint="eastAsia"/>
              </w:rPr>
              <w:t xml:space="preserve">in den Zustand </w:t>
            </w:r>
            <w:r>
              <w:t>"MQTT_</w:t>
            </w:r>
            <w:r>
              <w:rPr>
                <w:rFonts w:hint="eastAsia"/>
              </w:rPr>
              <w:t>ERROR".</w:t>
            </w:r>
            <w:r>
              <w:br/>
              <w:t>Wenn das "DISCONNECT"-Paket erfolgreich versendet wurde, wechselt der Zustandsautomat in den Zustand "MQTT_DISCONNECTED". Zeitgleich wird der Zustandsautomat "TCP" in den Zustand "TCP_DISCONNECT" versetzt. Damit wird auch die TCP-Verbindung beendet.</w:t>
            </w:r>
          </w:p>
        </w:tc>
      </w:tr>
      <w:tr>
        <w:tc>
          <w:tcPr>
            <w:tcW w:w="2405" w:type="dxa"/>
            <w:shd w:val="clear" w:color="auto" w:fill="auto"/>
          </w:tcPr>
          <w:p>
            <w:pPr>
              <w:pStyle w:val="TabelleTextlinks"/>
              <w:rPr>
                <w:lang w:val="en-US"/>
              </w:rPr>
            </w:pPr>
            <w:r>
              <w:rPr>
                <w:lang w:val="en-US"/>
              </w:rPr>
              <w:t>MQTT_ERROR</w:t>
            </w:r>
          </w:p>
        </w:tc>
        <w:tc>
          <w:tcPr>
            <w:tcW w:w="5069" w:type="dxa"/>
            <w:shd w:val="clear" w:color="auto" w:fill="auto"/>
          </w:tcPr>
          <w:p>
            <w:pPr>
              <w:pStyle w:val="TabelleTextlinks"/>
            </w:pPr>
            <w:r>
              <w:t>Wenn ein Fehler im Zustandsautomaten "MQTT" eintritt, ist der Zustand "MQTT_ERROR" die zentrale Anlaufstelle. Hier werden die erforderlichen Parameter (statische Variablen und Ausgangsvariablen) gesetzt bzw. zurückgesetzt. Zudem werden folgende Aktionen ausgeführt:</w:t>
            </w:r>
          </w:p>
          <w:p>
            <w:pPr>
              <w:pStyle w:val="TabelleBulletText1"/>
            </w:pPr>
            <w:r>
              <w:t>Die Fehlermeldung des beteiligten MQTT-Befehls wird am Ausgang "status" übergeben.</w:t>
            </w:r>
          </w:p>
          <w:p>
            <w:pPr>
              <w:pStyle w:val="TabelleBulletText1"/>
            </w:pPr>
            <w:r>
              <w:t>Am Ausgang "statusID" wird die Nummer des Zustandsausgegeben, in dem der Fehler aufgetreten ist</w:t>
            </w:r>
          </w:p>
          <w:p>
            <w:pPr>
              <w:pStyle w:val="TabelleBulletText1"/>
            </w:pPr>
            <w:r>
              <w:t xml:space="preserve">Der Zustandsautomat kehrt zurück in den "MQTT_DISCONNECTED"-Zustand. </w:t>
            </w:r>
          </w:p>
        </w:tc>
      </w:tr>
    </w:tbl>
    <w:p>
      <w:pPr>
        <w:pStyle w:val="berschrift3"/>
        <w:pageBreakBefore/>
      </w:pPr>
      <w:bookmarkStart w:id="41" w:name="_Toc520107706"/>
      <w:r>
        <w:lastRenderedPageBreak/>
        <w:t>Zustandsautomat "PUSH"</w:t>
      </w:r>
      <w:bookmarkEnd w:id="41"/>
    </w:p>
    <w:p>
      <w:pPr>
        <w:pStyle w:val="Blocktext"/>
      </w:pPr>
      <w:r>
        <w:t>Der Zustandsautomat "PUSH" wird nur durchlaufen, wenn sich der Zustandsautomat "MQTT" im Zustand "MQTT_CONNECTED" befindet. Denn hier wird entschieden, von welcher Stelle aus der Zustandsautomat "PUSH" gestartet wird. Wenn ein Sendeanstoß für eine MQTT-Nachricht vorliegt, dann wird die Senderoutine aktiv. Wenn die KeepAlive-Zeit in Kürze endet, wird die PING-Routine gestartet.</w:t>
      </w:r>
    </w:p>
    <w:p>
      <w:pPr>
        <w:pStyle w:val="Blocktext"/>
      </w:pPr>
      <w:r>
        <w:t>Der Zustandsautomat "PUSH" beinhaltet folgende Zustände:</w:t>
      </w:r>
    </w:p>
    <w:p>
      <w:pPr>
        <w:pStyle w:val="BulletText1"/>
      </w:pPr>
      <w:r>
        <w:t>IDLE</w:t>
      </w:r>
    </w:p>
    <w:p>
      <w:pPr>
        <w:pStyle w:val="BulletText1"/>
      </w:pPr>
      <w:r>
        <w:t>MQTT_PUBLISH</w:t>
      </w:r>
    </w:p>
    <w:p>
      <w:pPr>
        <w:pStyle w:val="BulletText1"/>
      </w:pPr>
      <w:r>
        <w:t>MQTT_PUBACK</w:t>
      </w:r>
    </w:p>
    <w:p>
      <w:pPr>
        <w:pStyle w:val="BulletText1"/>
      </w:pPr>
      <w:r>
        <w:t>MQTT_PUBREL</w:t>
      </w:r>
    </w:p>
    <w:p>
      <w:pPr>
        <w:pStyle w:val="BulletText1"/>
      </w:pPr>
      <w:r>
        <w:t>MQTT_PUBCOMP</w:t>
      </w:r>
    </w:p>
    <w:p>
      <w:pPr>
        <w:pStyle w:val="BulletText1"/>
      </w:pPr>
      <w:r>
        <w:t>MQTT_PING</w:t>
      </w:r>
    </w:p>
    <w:p>
      <w:pPr>
        <w:pStyle w:val="BulletText1"/>
      </w:pPr>
      <w:r>
        <w:t>MQTT_PINGRESP</w:t>
      </w:r>
    </w:p>
    <w:p>
      <w:pPr>
        <w:pStyle w:val="Blocktext"/>
      </w:pPr>
    </w:p>
    <w:tbl>
      <w:tblPr>
        <w:tblStyle w:val="Tabellenraster"/>
        <w:tblW w:w="0" w:type="auto"/>
        <w:tblInd w:w="1247" w:type="dxa"/>
        <w:tblLook w:val="04A0" w:firstRow="1" w:lastRow="0" w:firstColumn="1" w:lastColumn="0" w:noHBand="0" w:noVBand="1"/>
      </w:tblPr>
      <w:tblGrid>
        <w:gridCol w:w="1887"/>
        <w:gridCol w:w="5587"/>
      </w:tblGrid>
      <w:tr>
        <w:trPr>
          <w:tblHeader/>
        </w:trPr>
        <w:tc>
          <w:tcPr>
            <w:tcW w:w="1887" w:type="dxa"/>
            <w:tcBorders>
              <w:bottom w:val="single" w:sz="12" w:space="0" w:color="auto"/>
            </w:tcBorders>
            <w:shd w:val="clear" w:color="auto" w:fill="E6E6E6"/>
          </w:tcPr>
          <w:p>
            <w:pPr>
              <w:pStyle w:val="TabelleKopfzentriert"/>
            </w:pPr>
            <w:r>
              <w:t>Zustand</w:t>
            </w:r>
          </w:p>
        </w:tc>
        <w:tc>
          <w:tcPr>
            <w:tcW w:w="5587" w:type="dxa"/>
            <w:tcBorders>
              <w:bottom w:val="single" w:sz="12" w:space="0" w:color="auto"/>
            </w:tcBorders>
            <w:shd w:val="clear" w:color="auto" w:fill="E6E6E6"/>
          </w:tcPr>
          <w:p>
            <w:pPr>
              <w:pStyle w:val="TabelleKopfzentriert"/>
            </w:pPr>
            <w:r>
              <w:t>Beschreibung</w:t>
            </w:r>
          </w:p>
        </w:tc>
      </w:tr>
      <w:tr>
        <w:tc>
          <w:tcPr>
            <w:tcW w:w="1887" w:type="dxa"/>
            <w:tcBorders>
              <w:top w:val="single" w:sz="12" w:space="0" w:color="auto"/>
            </w:tcBorders>
            <w:shd w:val="clear" w:color="auto" w:fill="auto"/>
          </w:tcPr>
          <w:p>
            <w:pPr>
              <w:pStyle w:val="TabelleTextlinks"/>
              <w:rPr>
                <w:lang w:val="en-US"/>
              </w:rPr>
            </w:pPr>
            <w:r>
              <w:rPr>
                <w:lang w:val="en-US"/>
              </w:rPr>
              <w:t>IDLE</w:t>
            </w:r>
          </w:p>
        </w:tc>
        <w:tc>
          <w:tcPr>
            <w:tcW w:w="5587" w:type="dxa"/>
            <w:tcBorders>
              <w:top w:val="single" w:sz="12" w:space="0" w:color="auto"/>
            </w:tcBorders>
            <w:shd w:val="clear" w:color="auto" w:fill="auto"/>
          </w:tcPr>
          <w:p>
            <w:pPr>
              <w:pStyle w:val="TabelleTextlinks"/>
            </w:pPr>
            <w:r>
              <w:t>Solange kein Sendeanstoß vorliegt oder das KeepAlive-Intervall nicht abläuft, ist der Zustand immer "IDLE".</w:t>
            </w:r>
          </w:p>
        </w:tc>
      </w:tr>
      <w:tr>
        <w:tc>
          <w:tcPr>
            <w:tcW w:w="1887" w:type="dxa"/>
            <w:shd w:val="clear" w:color="auto" w:fill="auto"/>
          </w:tcPr>
          <w:p>
            <w:pPr>
              <w:pStyle w:val="BulletText1"/>
              <w:numPr>
                <w:ilvl w:val="0"/>
                <w:numId w:val="0"/>
              </w:numPr>
            </w:pPr>
            <w:r>
              <w:t>MQTT_PUBLISH</w:t>
            </w:r>
          </w:p>
          <w:p>
            <w:pPr>
              <w:pStyle w:val="TabelleTextlinks"/>
              <w:rPr>
                <w:lang w:val="en-US"/>
              </w:rPr>
            </w:pPr>
          </w:p>
        </w:tc>
        <w:tc>
          <w:tcPr>
            <w:tcW w:w="5587" w:type="dxa"/>
            <w:shd w:val="clear" w:color="auto" w:fill="auto"/>
          </w:tcPr>
          <w:p>
            <w:pPr>
              <w:pStyle w:val="TabelleTextlinks"/>
            </w:pPr>
            <w:r>
              <w:t>Wenn im Zustand "MQTT_CONNECTED" am Eingangsparameter "publish" eine positive Flanke erkannt wurde, wird der interne Zustandsautomat "PUSH" in den Zustand "MQTT_PUBLISH" versetzt. Hier startet die Senderoutine in Abhängigkeit von der Qualitätssicherung QoS.</w:t>
            </w:r>
          </w:p>
          <w:p>
            <w:pPr>
              <w:pStyle w:val="TabelleTextlinks"/>
            </w:pPr>
            <w:r>
              <w:t xml:space="preserve">Zuerst wird ein "PUBLISH"-Paket mit den vorgegebenen Parametern, dem Topic und dem Nachrichtentext zusammengebaut und anschließend mit dem "TSEND"-Baustein an den </w:t>
            </w:r>
            <w:r>
              <w:rPr>
                <w:lang w:eastAsia="ja-JP"/>
              </w:rPr>
              <w:t>Broker</w:t>
            </w:r>
            <w:r>
              <w:t xml:space="preserve"> geschickt.</w:t>
            </w:r>
          </w:p>
          <w:p>
            <w:pPr>
              <w:pStyle w:val="TabelleTextlinks"/>
            </w:pPr>
            <w:r>
              <w:t xml:space="preserve">Wenn beim Senden des "PUBLISH"-Pakets ein Fehler auftritt, </w:t>
            </w:r>
            <w:r>
              <w:rPr>
                <w:rFonts w:hint="eastAsia"/>
              </w:rPr>
              <w:t xml:space="preserve">wechselt </w:t>
            </w:r>
            <w:r>
              <w:t xml:space="preserve">der Zustandsautomat "MQTT" </w:t>
            </w:r>
            <w:r>
              <w:rPr>
                <w:rFonts w:hint="eastAsia"/>
              </w:rPr>
              <w:t xml:space="preserve">in den Zustand </w:t>
            </w:r>
            <w:r>
              <w:t>"MQTT_</w:t>
            </w:r>
            <w:r>
              <w:rPr>
                <w:rFonts w:hint="eastAsia"/>
              </w:rPr>
              <w:t>ERROR"</w:t>
            </w:r>
            <w:r>
              <w:t xml:space="preserve"> und der Zustandsautomat geht zurück in "IDLE".</w:t>
            </w:r>
            <w:r>
              <w:br/>
              <w:t>Wenn das "PUBLISH"-Paket erfolgreich versendet wurde, ist der nächste Schritt von dem gewählten QoS abhängig:</w:t>
            </w:r>
          </w:p>
          <w:p>
            <w:pPr>
              <w:pStyle w:val="TabelleBulletText1"/>
            </w:pPr>
            <w:r>
              <w:t>Bei QoS gleich "0" endet an dieser Stelle der Sendevorgang und dieser Zustandsautomat geht zurück in "IDLE". Das KeepAlive-Intervall wird bei Bedarf neu gestartet.</w:t>
            </w:r>
          </w:p>
          <w:p>
            <w:pPr>
              <w:pStyle w:val="TabelleBulletText1"/>
            </w:pPr>
            <w:r>
              <w:t xml:space="preserve">Bei QoS gleich "1" und QoS gleich "2" wechselt dieser Zustandsautomat in den Zustand "MQTT_PUBACK", um eine Quittierung vom </w:t>
            </w:r>
            <w:r>
              <w:rPr>
                <w:lang w:eastAsia="ja-JP"/>
              </w:rPr>
              <w:t>Broker</w:t>
            </w:r>
            <w:r>
              <w:t xml:space="preserve"> zu erhalten.</w:t>
            </w:r>
          </w:p>
        </w:tc>
      </w:tr>
      <w:tr>
        <w:tc>
          <w:tcPr>
            <w:tcW w:w="1887" w:type="dxa"/>
            <w:shd w:val="clear" w:color="auto" w:fill="auto"/>
          </w:tcPr>
          <w:p>
            <w:pPr>
              <w:pStyle w:val="TabelleTextlinks"/>
              <w:rPr>
                <w:lang w:val="en-US"/>
              </w:rPr>
            </w:pPr>
            <w:r>
              <w:t>MQTT_PUBACK</w:t>
            </w:r>
          </w:p>
        </w:tc>
        <w:tc>
          <w:tcPr>
            <w:tcW w:w="5587" w:type="dxa"/>
            <w:shd w:val="clear" w:color="auto" w:fill="auto"/>
          </w:tcPr>
          <w:p>
            <w:pPr>
              <w:pStyle w:val="TabelleTextlinks"/>
            </w:pPr>
            <w:r>
              <w:t xml:space="preserve">Wenn der QoS größer "0" ist, erwartet der Client eine Quittierung des </w:t>
            </w:r>
            <w:r>
              <w:rPr>
                <w:lang w:eastAsia="ja-JP"/>
              </w:rPr>
              <w:t>Broker</w:t>
            </w:r>
            <w:r>
              <w:t>s auf das "PUBLISH"-Paket.</w:t>
            </w:r>
          </w:p>
          <w:p>
            <w:pPr>
              <w:pStyle w:val="TabelleTextlinks"/>
            </w:pPr>
            <w:r>
              <w:t xml:space="preserve">In diesem Zustand verwahrt dieser Zustandsautomat solange, bis der Baustein "TRCV" eine Nachricht empfängt. Es wird überprüft, ob es sich um ein "PUBACK"-Paket handelt. </w:t>
            </w:r>
          </w:p>
          <w:p>
            <w:pPr>
              <w:pStyle w:val="TabelleTextlinks"/>
            </w:pPr>
            <w:r>
              <w:t xml:space="preserve">Wenn der </w:t>
            </w:r>
            <w:r>
              <w:rPr>
                <w:lang w:eastAsia="ja-JP"/>
              </w:rPr>
              <w:t>Broker</w:t>
            </w:r>
            <w:r>
              <w:t xml:space="preserve"> den Erhalt der Nachricht bestätigt hat, ist der nächste Schritt von dem gewählten QoS abhängig:</w:t>
            </w:r>
          </w:p>
          <w:p>
            <w:pPr>
              <w:pStyle w:val="TabelleBulletText1"/>
            </w:pPr>
            <w:r>
              <w:t>Bei QoS gleich "1" endet an dieser Stelle der Sendevorgang und dieser Zustandsautomat geht zurück in "IDLE". Das KeepAlive-Intervall wird bei Bedarf neu gestartet.</w:t>
            </w:r>
          </w:p>
          <w:p>
            <w:pPr>
              <w:pStyle w:val="TabelleBulletText1"/>
            </w:pPr>
            <w:r>
              <w:t>Bei QoS gleich "2" wechselt dieser Zustandsautomat in den Zustand "MQTT_PUBREL, um den Quittierungseingang zu bestätigen.</w:t>
            </w:r>
          </w:p>
          <w:p>
            <w:pPr>
              <w:pStyle w:val="TabelleTextlinks"/>
            </w:pPr>
            <w:r>
              <w:t xml:space="preserve">Wenn der "TRCV"-Baustein einen Fehler erkennt, </w:t>
            </w:r>
            <w:r>
              <w:rPr>
                <w:rFonts w:hint="eastAsia"/>
              </w:rPr>
              <w:t xml:space="preserve">wechselt </w:t>
            </w:r>
            <w:r>
              <w:t xml:space="preserve">der Zustandsautomat "MQTT" </w:t>
            </w:r>
            <w:r>
              <w:rPr>
                <w:rFonts w:hint="eastAsia"/>
              </w:rPr>
              <w:t xml:space="preserve">in den Zustand </w:t>
            </w:r>
            <w:r>
              <w:t>"MQTT_</w:t>
            </w:r>
            <w:r>
              <w:rPr>
                <w:rFonts w:hint="eastAsia"/>
              </w:rPr>
              <w:t>ERROR"</w:t>
            </w:r>
            <w:r>
              <w:t xml:space="preserve"> und </w:t>
            </w:r>
            <w:r>
              <w:lastRenderedPageBreak/>
              <w:t>der Zustandsautomat geht zurück in "IDLE".</w:t>
            </w:r>
          </w:p>
        </w:tc>
      </w:tr>
      <w:tr>
        <w:tc>
          <w:tcPr>
            <w:tcW w:w="1887" w:type="dxa"/>
            <w:shd w:val="clear" w:color="auto" w:fill="auto"/>
          </w:tcPr>
          <w:p>
            <w:pPr>
              <w:pStyle w:val="TabelleTextlinks"/>
              <w:rPr>
                <w:lang w:val="en-US"/>
              </w:rPr>
            </w:pPr>
            <w:r>
              <w:rPr>
                <w:lang w:val="en-US"/>
              </w:rPr>
              <w:lastRenderedPageBreak/>
              <w:t>MQTT_PUBREL</w:t>
            </w:r>
          </w:p>
        </w:tc>
        <w:tc>
          <w:tcPr>
            <w:tcW w:w="5587" w:type="dxa"/>
            <w:shd w:val="clear" w:color="auto" w:fill="auto"/>
          </w:tcPr>
          <w:p>
            <w:pPr>
              <w:pStyle w:val="TabelleTextlinks"/>
            </w:pPr>
            <w:r>
              <w:t xml:space="preserve">Bei QoS gleich "2" erfolgt ein zweifacher Handshake mit dem </w:t>
            </w:r>
            <w:r>
              <w:rPr>
                <w:lang w:eastAsia="ja-JP"/>
              </w:rPr>
              <w:t>Broker</w:t>
            </w:r>
            <w:r>
              <w:t>.</w:t>
            </w:r>
          </w:p>
          <w:p>
            <w:pPr>
              <w:pStyle w:val="TabelleTextlinks"/>
            </w:pPr>
            <w:r>
              <w:t xml:space="preserve">Nachdem der Client das "PUBACK" erhalten hat, wird es durch das "PUBREL"-Paket bestätigt. Dafür wird ein "PUBREL"-Paket zusammengebaut und anschließend mit dem "TSEND"-Baustein an den </w:t>
            </w:r>
            <w:r>
              <w:rPr>
                <w:lang w:eastAsia="ja-JP"/>
              </w:rPr>
              <w:t>Broker</w:t>
            </w:r>
            <w:r>
              <w:t xml:space="preserve"> geschickt. Wenn beim Senden des "PUBREL"-Pakets ein Fehler auftritt, </w:t>
            </w:r>
            <w:r>
              <w:rPr>
                <w:rFonts w:hint="eastAsia"/>
              </w:rPr>
              <w:t xml:space="preserve">wechselt </w:t>
            </w:r>
            <w:r>
              <w:t xml:space="preserve">der Zustandsautomat "MQTT" </w:t>
            </w:r>
            <w:r>
              <w:rPr>
                <w:rFonts w:hint="eastAsia"/>
              </w:rPr>
              <w:t xml:space="preserve">in den Zustand </w:t>
            </w:r>
            <w:r>
              <w:t>"MQTT_</w:t>
            </w:r>
            <w:r>
              <w:rPr>
                <w:rFonts w:hint="eastAsia"/>
              </w:rPr>
              <w:t>ERROR"</w:t>
            </w:r>
            <w:r>
              <w:t xml:space="preserve"> und der Zustandsautomat geht zurück in "IDLE".</w:t>
            </w:r>
            <w:r>
              <w:br/>
              <w:t>Wenn das "PUBREL"-Paket erfolgreich versendet wurde, wechselt der Zustandsautomat in den Zustand "PUBCOMP".</w:t>
            </w:r>
          </w:p>
        </w:tc>
      </w:tr>
      <w:tr>
        <w:tc>
          <w:tcPr>
            <w:tcW w:w="1887" w:type="dxa"/>
            <w:shd w:val="clear" w:color="auto" w:fill="auto"/>
          </w:tcPr>
          <w:p>
            <w:pPr>
              <w:pStyle w:val="TabelleTextlinks"/>
              <w:rPr>
                <w:lang w:val="en-US"/>
              </w:rPr>
            </w:pPr>
            <w:r>
              <w:rPr>
                <w:lang w:val="en-US"/>
              </w:rPr>
              <w:t>MQTT_PUBCOMP</w:t>
            </w:r>
          </w:p>
        </w:tc>
        <w:tc>
          <w:tcPr>
            <w:tcW w:w="5587" w:type="dxa"/>
            <w:shd w:val="clear" w:color="auto" w:fill="auto"/>
          </w:tcPr>
          <w:p>
            <w:pPr>
              <w:pStyle w:val="TabelleTextlinks"/>
            </w:pPr>
            <w:r>
              <w:t xml:space="preserve">Dieser Zustand ist der letzte Teil des zweifachen Handshakes-Verfahren bei QoS gleich "2". Der Client erwartet eine Quittierung des </w:t>
            </w:r>
            <w:r>
              <w:rPr>
                <w:lang w:eastAsia="ja-JP"/>
              </w:rPr>
              <w:t>Broker</w:t>
            </w:r>
            <w:r>
              <w:t>s auf das "PUBREL"-Paket.</w:t>
            </w:r>
          </w:p>
          <w:p>
            <w:pPr>
              <w:pStyle w:val="TabelleTextlinks"/>
            </w:pPr>
            <w:r>
              <w:t xml:space="preserve">In diesem Zustand verwahrt dieser Zustandsautomat solange, bis der Baustein "TRCV" eine Nachricht empfängt. Es wird überprüft, ob es sich um ein "PUBCOMP"-Paket handelt. </w:t>
            </w:r>
          </w:p>
          <w:p>
            <w:pPr>
              <w:pStyle w:val="TabelleBulletText1"/>
              <w:numPr>
                <w:ilvl w:val="0"/>
                <w:numId w:val="0"/>
              </w:numPr>
            </w:pPr>
            <w:r>
              <w:t xml:space="preserve">Wenn der </w:t>
            </w:r>
            <w:r>
              <w:rPr>
                <w:lang w:eastAsia="ja-JP"/>
              </w:rPr>
              <w:t>Broker</w:t>
            </w:r>
            <w:r>
              <w:t xml:space="preserve"> den Erhalt der Nachricht bestätigt hat, wechselt dieser Zustandsautomat zurück in "IDLE" und das KeepAlive-Intervall wird bei Bedarf neu gestartet. Das Handshake-Verfahren ist damit abgeschlossen.</w:t>
            </w:r>
            <w:r>
              <w:br/>
              <w:t xml:space="preserve">Wenn der "TRCV"-Baustein einen Fehler erkennt, </w:t>
            </w:r>
            <w:r>
              <w:rPr>
                <w:rFonts w:hint="eastAsia"/>
              </w:rPr>
              <w:t xml:space="preserve">wechselt </w:t>
            </w:r>
            <w:r>
              <w:t xml:space="preserve">der Zustandsautomat "MQTT" </w:t>
            </w:r>
            <w:r>
              <w:rPr>
                <w:rFonts w:hint="eastAsia"/>
              </w:rPr>
              <w:t xml:space="preserve">in den Zustand </w:t>
            </w:r>
            <w:r>
              <w:t>"MQTT_</w:t>
            </w:r>
            <w:r>
              <w:rPr>
                <w:rFonts w:hint="eastAsia"/>
              </w:rPr>
              <w:t>ERROR"</w:t>
            </w:r>
            <w:r>
              <w:t xml:space="preserve"> und dieser Zustandsautomat geht zurück in "IDLE".</w:t>
            </w:r>
          </w:p>
        </w:tc>
      </w:tr>
      <w:tr>
        <w:tc>
          <w:tcPr>
            <w:tcW w:w="1887" w:type="dxa"/>
            <w:shd w:val="clear" w:color="auto" w:fill="auto"/>
          </w:tcPr>
          <w:p>
            <w:pPr>
              <w:pStyle w:val="TabelleTextlinks"/>
              <w:rPr>
                <w:lang w:val="en-US"/>
              </w:rPr>
            </w:pPr>
            <w:r>
              <w:rPr>
                <w:lang w:val="en-US"/>
              </w:rPr>
              <w:t>MQTT_PING</w:t>
            </w:r>
          </w:p>
        </w:tc>
        <w:tc>
          <w:tcPr>
            <w:tcW w:w="5587" w:type="dxa"/>
            <w:shd w:val="clear" w:color="auto" w:fill="auto"/>
          </w:tcPr>
          <w:p>
            <w:pPr>
              <w:pStyle w:val="TabelleTextlinks"/>
            </w:pPr>
            <w:r>
              <w:t>Wenn im Zustand "MQTT_CONNECTED" festgestellt wird, dass das KeepAlive-Intervall abläuft, wird der interne Zustandsautomat in den Zustand "MQTT_PING" versetzt. Hier startet die Pingroutine.</w:t>
            </w:r>
          </w:p>
          <w:p>
            <w:pPr>
              <w:pStyle w:val="TabelleTextlinks"/>
            </w:pPr>
            <w:r>
              <w:t xml:space="preserve">Zuerst wird ein "PING"-Paket zusammengebaut und anschließend mit dem "TSEND"-Baustein an den </w:t>
            </w:r>
            <w:r>
              <w:rPr>
                <w:lang w:eastAsia="ja-JP"/>
              </w:rPr>
              <w:t>Broker</w:t>
            </w:r>
            <w:r>
              <w:t xml:space="preserve"> geschickt.</w:t>
            </w:r>
          </w:p>
          <w:p>
            <w:pPr>
              <w:pStyle w:val="TabelleTextlinks"/>
            </w:pPr>
            <w:r>
              <w:t xml:space="preserve">Wenn beim Senden des "PING"-Pakets ein Fehler auftritt, </w:t>
            </w:r>
            <w:r>
              <w:rPr>
                <w:rFonts w:hint="eastAsia"/>
              </w:rPr>
              <w:t xml:space="preserve">wechselt </w:t>
            </w:r>
            <w:r>
              <w:t xml:space="preserve">der Zustandsautomat "MQTT" </w:t>
            </w:r>
            <w:r>
              <w:rPr>
                <w:rFonts w:hint="eastAsia"/>
              </w:rPr>
              <w:t xml:space="preserve">in den Zustand </w:t>
            </w:r>
            <w:r>
              <w:t>"MQTT_</w:t>
            </w:r>
            <w:r>
              <w:rPr>
                <w:rFonts w:hint="eastAsia"/>
              </w:rPr>
              <w:t>ERROR"</w:t>
            </w:r>
            <w:r>
              <w:t xml:space="preserve"> und dieser Zustandsautomat geht zurück in "IDLE".</w:t>
            </w:r>
          </w:p>
        </w:tc>
      </w:tr>
      <w:tr>
        <w:tc>
          <w:tcPr>
            <w:tcW w:w="1887" w:type="dxa"/>
            <w:shd w:val="clear" w:color="auto" w:fill="auto"/>
          </w:tcPr>
          <w:p>
            <w:pPr>
              <w:pStyle w:val="TabelleTextlinks"/>
              <w:rPr>
                <w:lang w:val="en-US"/>
              </w:rPr>
            </w:pPr>
            <w:r>
              <w:rPr>
                <w:lang w:val="en-US"/>
              </w:rPr>
              <w:t>MQTT_PINGRESP</w:t>
            </w:r>
          </w:p>
        </w:tc>
        <w:tc>
          <w:tcPr>
            <w:tcW w:w="5587" w:type="dxa"/>
            <w:shd w:val="clear" w:color="auto" w:fill="auto"/>
          </w:tcPr>
          <w:p>
            <w:pPr>
              <w:pStyle w:val="TabelleTextlinks"/>
            </w:pPr>
            <w:r>
              <w:t xml:space="preserve">Nach dem "PING"-Paket erwartet der Client eine Quittierung des </w:t>
            </w:r>
            <w:r>
              <w:rPr>
                <w:lang w:eastAsia="ja-JP"/>
              </w:rPr>
              <w:t>Broker</w:t>
            </w:r>
            <w:r>
              <w:t>s.</w:t>
            </w:r>
          </w:p>
          <w:p>
            <w:pPr>
              <w:pStyle w:val="TabelleTextlinks"/>
            </w:pPr>
            <w:r>
              <w:t xml:space="preserve">In diesem Zustand verwahrt der Zustandsautomat solange, bis der Baustein "TRCV" eine Nachricht empfängt. Es wird überprüft, ob es sich um ein "PINGRESP"-Paket handelt. </w:t>
            </w:r>
          </w:p>
          <w:p>
            <w:pPr>
              <w:pStyle w:val="TabelleTextlinks"/>
            </w:pPr>
            <w:r>
              <w:t xml:space="preserve">Wenn der </w:t>
            </w:r>
            <w:r>
              <w:rPr>
                <w:lang w:eastAsia="ja-JP"/>
              </w:rPr>
              <w:t>Broker</w:t>
            </w:r>
            <w:r>
              <w:t xml:space="preserve"> den Erhalt der Nachricht bestätigt hat, geht der Zustandsautomat zurück in "IDLE". Das KeepAlive-Intervall wird neu gestartet.</w:t>
            </w:r>
          </w:p>
          <w:p>
            <w:pPr>
              <w:pStyle w:val="TabelleTextlinks"/>
            </w:pPr>
            <w:r>
              <w:t xml:space="preserve">Wenn der "TRCV"-Baustein einen Fehler erkennt, </w:t>
            </w:r>
            <w:r>
              <w:rPr>
                <w:rFonts w:hint="eastAsia"/>
              </w:rPr>
              <w:t xml:space="preserve">wechselt </w:t>
            </w:r>
            <w:r>
              <w:t xml:space="preserve">der Zustandsautomat "MQTT" </w:t>
            </w:r>
            <w:r>
              <w:rPr>
                <w:rFonts w:hint="eastAsia"/>
              </w:rPr>
              <w:t xml:space="preserve">in den Zustand </w:t>
            </w:r>
            <w:r>
              <w:t>"MQTT_</w:t>
            </w:r>
            <w:r>
              <w:rPr>
                <w:rFonts w:hint="eastAsia"/>
              </w:rPr>
              <w:t>ERROR"</w:t>
            </w:r>
            <w:r>
              <w:t xml:space="preserve"> und dieser Zustandsautomat geht zurück in "IDLE".</w:t>
            </w:r>
          </w:p>
        </w:tc>
      </w:tr>
    </w:tbl>
    <w:p>
      <w:pPr>
        <w:pStyle w:val="Blocktext"/>
      </w:pPr>
    </w:p>
    <w:p>
      <w:pPr>
        <w:pStyle w:val="berschrift3"/>
        <w:pageBreakBefore/>
      </w:pPr>
      <w:bookmarkStart w:id="42" w:name="_Toc520107707"/>
      <w:r>
        <w:lastRenderedPageBreak/>
        <w:t>Funktionsdiagramm</w:t>
      </w:r>
      <w:bookmarkEnd w:id="42"/>
    </w:p>
    <w:p>
      <w:pPr>
        <w:pStyle w:val="Blocktext"/>
      </w:pPr>
      <w:r>
        <w:t>Folgende Abbildung zeigt das Diagramm der Funktionsweise mit den drei Zustandsautomaten:</w:t>
      </w:r>
      <w:r>
        <w:br/>
      </w:r>
    </w:p>
    <w:p>
      <w:pPr>
        <w:pStyle w:val="BildBeschriftungSeitenbreite"/>
        <w:rPr>
          <w:noProof/>
        </w:rPr>
      </w:pPr>
      <w:r>
        <w:rPr>
          <w:noProof/>
        </w:rPr>
        <w:t>Abbildung </w:t>
      </w:r>
      <w:r>
        <w:rPr>
          <w:noProof/>
        </w:rPr>
        <w:fldChar w:fldCharType="begin"/>
      </w:r>
      <w:r>
        <w:rPr>
          <w:noProof/>
        </w:rPr>
        <w:instrText xml:space="preserve"> STYLEREF 1 \s </w:instrText>
      </w:r>
      <w:r>
        <w:rPr>
          <w:noProof/>
        </w:rPr>
        <w:fldChar w:fldCharType="separate"/>
      </w:r>
      <w:r>
        <w:rPr>
          <w:noProof/>
        </w:rPr>
        <w:t>3</w:t>
      </w:r>
      <w:r>
        <w:rPr>
          <w:noProof/>
        </w:rPr>
        <w:fldChar w:fldCharType="end"/>
      </w:r>
      <w:r>
        <w:rPr>
          <w:noProof/>
        </w:rPr>
        <w:noBreakHyphen/>
      </w:r>
      <w:r>
        <w:rPr>
          <w:noProof/>
        </w:rPr>
        <w:fldChar w:fldCharType="begin"/>
      </w:r>
      <w:r>
        <w:rPr>
          <w:noProof/>
        </w:rPr>
        <w:instrText xml:space="preserve"> SEQ Abbildung \* ARABIC \s 1 </w:instrText>
      </w:r>
      <w:r>
        <w:rPr>
          <w:noProof/>
        </w:rPr>
        <w:fldChar w:fldCharType="separate"/>
      </w:r>
      <w:r>
        <w:rPr>
          <w:noProof/>
        </w:rPr>
        <w:t>2</w:t>
      </w:r>
      <w:r>
        <w:rPr>
          <w:noProof/>
        </w:rPr>
        <w:fldChar w:fldCharType="end"/>
      </w:r>
    </w:p>
    <w:p>
      <w:pPr>
        <w:pStyle w:val="BildBeschriftungSeitenbreite"/>
        <w:keepNext w:val="0"/>
      </w:pPr>
    </w:p>
    <w:p>
      <w:pPr>
        <w:pStyle w:val="Blocktext"/>
        <w:ind w:hanging="1134"/>
      </w:pPr>
      <w:r>
        <w:rPr>
          <w:noProof/>
          <w:lang w:eastAsia="de-DE"/>
        </w:rPr>
        <w:drawing>
          <wp:inline distT="0" distB="0" distL="0" distR="0">
            <wp:extent cx="5435601" cy="2301306"/>
            <wp:effectExtent l="0" t="0" r="0" b="381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QTT DOKU\Diagramm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35601" cy="2301306"/>
                    </a:xfrm>
                    <a:prstGeom prst="rect">
                      <a:avLst/>
                    </a:prstGeom>
                    <a:noFill/>
                    <a:ln>
                      <a:noFill/>
                    </a:ln>
                  </pic:spPr>
                </pic:pic>
              </a:graphicData>
            </a:graphic>
          </wp:inline>
        </w:drawing>
      </w:r>
    </w:p>
    <w:p>
      <w:pPr>
        <w:pStyle w:val="Blocktext"/>
      </w:pPr>
    </w:p>
    <w:p>
      <w:pPr>
        <w:pStyle w:val="BildBeschriftungtextBreite"/>
        <w:ind w:left="0" w:firstLine="0"/>
      </w:pPr>
    </w:p>
    <w:p>
      <w:pPr>
        <w:pStyle w:val="Blocktext"/>
      </w:pPr>
    </w:p>
    <w:p>
      <w:pPr>
        <w:pStyle w:val="Blocktext"/>
      </w:pPr>
    </w:p>
    <w:p>
      <w:pPr>
        <w:pStyle w:val="berschrift1"/>
      </w:pPr>
      <w:bookmarkStart w:id="43" w:name="_Toc473820204"/>
      <w:bookmarkStart w:id="44" w:name="_Toc520107708"/>
      <w:r>
        <w:lastRenderedPageBreak/>
        <w:t>Anhang</w:t>
      </w:r>
      <w:bookmarkEnd w:id="43"/>
      <w:bookmarkEnd w:id="44"/>
    </w:p>
    <w:p>
      <w:pPr>
        <w:pStyle w:val="berschrift2"/>
      </w:pPr>
      <w:bookmarkStart w:id="45" w:name="_Toc473820205"/>
      <w:bookmarkStart w:id="46" w:name="_Toc520107709"/>
      <w:r>
        <w:t>Service und Support</w:t>
      </w:r>
      <w:bookmarkEnd w:id="45"/>
      <w:bookmarkEnd w:id="46"/>
      <w:r>
        <w:t xml:space="preserve"> </w:t>
      </w:r>
    </w:p>
    <w:p>
      <w:pPr>
        <w:pStyle w:val="Blocktitel"/>
      </w:pPr>
      <w:r>
        <w:t>Industry Online Support</w:t>
      </w:r>
    </w:p>
    <w:p>
      <w:pPr>
        <w:pStyle w:val="Blocktext"/>
      </w:pPr>
      <w:r>
        <w:t xml:space="preserve">Sie haben Fragen oder brauchen Unterstützung? </w:t>
      </w:r>
    </w:p>
    <w:p>
      <w:pPr>
        <w:pStyle w:val="Blocktext"/>
      </w:pPr>
      <w:r>
        <w:t xml:space="preserve">Über den Industry Online Support greifen Sie rund um die Uhr auf das gesamte Service und Support Know-how sowie auf unsere Dienstleistungen zu. </w:t>
      </w:r>
    </w:p>
    <w:p>
      <w:pPr>
        <w:pStyle w:val="Blocktext"/>
      </w:pPr>
      <w:r>
        <w:t xml:space="preserve">Der Industry Online Support ist die zentrale Adresse für Informationen zu unseren Produkten, Lösungen und Services. </w:t>
      </w:r>
    </w:p>
    <w:p>
      <w:pPr>
        <w:pStyle w:val="Blocktext"/>
      </w:pPr>
      <w:r>
        <w:t xml:space="preserve">Produktinformationen, Handbücher, Downloads, FAQs und Anwendungsbeispiele – alle Informationen sind mit wenigen Mausklicks erreichbar: </w:t>
      </w:r>
      <w:r>
        <w:br/>
      </w:r>
      <w:hyperlink r:id="rId33" w:history="1">
        <w:r>
          <w:rPr>
            <w:rStyle w:val="Hyperlink"/>
          </w:rPr>
          <w:t>https://support.industry.siemens.com</w:t>
        </w:r>
      </w:hyperlink>
      <w:r>
        <w:rPr>
          <w:rStyle w:val="Hyperlink"/>
        </w:rPr>
        <w:br/>
      </w:r>
    </w:p>
    <w:p>
      <w:pPr>
        <w:pStyle w:val="Blocktitel"/>
      </w:pPr>
      <w:r>
        <w:t>Technical Support</w:t>
      </w:r>
    </w:p>
    <w:p>
      <w:pPr>
        <w:pStyle w:val="Blocktext"/>
      </w:pPr>
      <w:r>
        <w:t>Der Technical Support von Siemens Industry unterstützt Sie schnell und kompetent bei allen technischen Anfragen mit einer Vielzahl maßgeschneiderter Angebote</w:t>
      </w:r>
      <w:r>
        <w:br/>
        <w:t>– von der Basisunterstützung bis hin zu individuellen Supportverträgen.</w:t>
      </w:r>
    </w:p>
    <w:p>
      <w:pPr>
        <w:pStyle w:val="Blocktext"/>
        <w:rPr>
          <w:rStyle w:val="Hyperlink"/>
        </w:rPr>
      </w:pPr>
      <w:r>
        <w:t xml:space="preserve">Anfragen an den Technical Support stellen Sie per Web-Formular: </w:t>
      </w:r>
      <w:r>
        <w:br/>
      </w:r>
      <w:hyperlink r:id="rId34" w:history="1">
        <w:r>
          <w:rPr>
            <w:rStyle w:val="Hyperlink"/>
          </w:rPr>
          <w:t>www.siemens.de/industry/supportrequest</w:t>
        </w:r>
      </w:hyperlink>
      <w:r>
        <w:rPr>
          <w:rStyle w:val="Hyperlink"/>
        </w:rPr>
        <w:br/>
      </w:r>
    </w:p>
    <w:p>
      <w:pPr>
        <w:pStyle w:val="Blocktitel"/>
      </w:pPr>
      <w:r>
        <w:t>SITRAIN – Training for Industry</w:t>
      </w:r>
    </w:p>
    <w:p>
      <w:pPr>
        <w:pStyle w:val="Blocktext"/>
      </w:pPr>
      <w:r>
        <w:t xml:space="preserve">Mit unseren weltweit verfügbaren Trainings für unsere Produkte und Lösungen unterstützen wir Sie mit innovativen Lernmethoden. </w:t>
      </w:r>
    </w:p>
    <w:p>
      <w:pPr>
        <w:pStyle w:val="Blocktext"/>
      </w:pPr>
      <w:r>
        <w:t xml:space="preserve">Mehr zu den angebotenen Trainings und Kursen sowie deren Standorte und Termine erfahren Sie unter: </w:t>
      </w:r>
      <w:r>
        <w:br/>
      </w:r>
      <w:hyperlink r:id="rId35" w:history="1">
        <w:r>
          <w:rPr>
            <w:rStyle w:val="Hyperlink"/>
          </w:rPr>
          <w:t>www.siemens.de/sitrain</w:t>
        </w:r>
      </w:hyperlink>
      <w:r>
        <w:t xml:space="preserve"> </w:t>
      </w:r>
      <w:r>
        <w:br/>
      </w:r>
    </w:p>
    <w:p>
      <w:pPr>
        <w:pStyle w:val="Blocktitel"/>
      </w:pPr>
      <w:r>
        <w:t>Serviceangebot</w:t>
      </w:r>
    </w:p>
    <w:p>
      <w:pPr>
        <w:pStyle w:val="Blocktext"/>
      </w:pPr>
      <w:r>
        <w:t xml:space="preserve">Unser Serviceangebot umfasst folgendes: </w:t>
      </w:r>
    </w:p>
    <w:p>
      <w:pPr>
        <w:pStyle w:val="BulletText1"/>
      </w:pPr>
      <w:r>
        <w:t>Plant Data Services</w:t>
      </w:r>
    </w:p>
    <w:p>
      <w:pPr>
        <w:pStyle w:val="BulletText1"/>
      </w:pPr>
      <w:r>
        <w:t>Ersatzteilservices</w:t>
      </w:r>
    </w:p>
    <w:p>
      <w:pPr>
        <w:pStyle w:val="BulletText1"/>
      </w:pPr>
      <w:r>
        <w:t xml:space="preserve">Reparaturservices </w:t>
      </w:r>
    </w:p>
    <w:p>
      <w:pPr>
        <w:pStyle w:val="BulletText1"/>
      </w:pPr>
      <w:r>
        <w:t>Vor-Ort und Instandhaltungsservices</w:t>
      </w:r>
    </w:p>
    <w:p>
      <w:pPr>
        <w:pStyle w:val="BulletText1"/>
      </w:pPr>
      <w:r>
        <w:t>Retrofit- und Modernisierungsservices</w:t>
      </w:r>
    </w:p>
    <w:p>
      <w:pPr>
        <w:pStyle w:val="BulletText1"/>
      </w:pPr>
      <w:r>
        <w:t xml:space="preserve">Serviceprogramme und Verträge </w:t>
      </w:r>
    </w:p>
    <w:p>
      <w:pPr>
        <w:pStyle w:val="Blocktext"/>
      </w:pPr>
      <w:r>
        <w:t>Ausführliche Informationen zu unserem Serviceangebot finden Sie im Servicekatalog:</w:t>
      </w:r>
      <w:r>
        <w:br/>
      </w:r>
      <w:hyperlink r:id="rId36" w:history="1">
        <w:r>
          <w:rPr>
            <w:rStyle w:val="Hyperlink"/>
          </w:rPr>
          <w:t>https://support.industry.siemens.com/cs/sc</w:t>
        </w:r>
      </w:hyperlink>
      <w:r>
        <w:rPr>
          <w:rStyle w:val="Hyperlink"/>
        </w:rPr>
        <w:br/>
      </w:r>
    </w:p>
    <w:p>
      <w:pPr>
        <w:pStyle w:val="Blocktitel"/>
      </w:pPr>
      <w:r>
        <w:t>Industry Online Support App</w:t>
      </w:r>
    </w:p>
    <w:p>
      <w:pPr>
        <w:pStyle w:val="Blocktext"/>
      </w:pPr>
      <w:r>
        <w:t>Mit der App "Siemens Industry Online Support" erhalten Sie auch unterwegs die optimale Unterstützung. Die App ist für Apple iOS, Android und Windows Phone verfügbar:</w:t>
      </w:r>
      <w:r>
        <w:br/>
      </w:r>
      <w:hyperlink r:id="rId37" w:history="1">
        <w:r>
          <w:rPr>
            <w:rStyle w:val="Hyperlink"/>
          </w:rPr>
          <w:t>https://support.industry.siemens.com/cs/ww/de/sc/2067</w:t>
        </w:r>
      </w:hyperlink>
    </w:p>
    <w:p>
      <w:pPr>
        <w:pStyle w:val="Blocktext"/>
        <w:ind w:left="0"/>
      </w:pPr>
    </w:p>
    <w:p>
      <w:pPr>
        <w:pStyle w:val="berschrift2"/>
        <w:pageBreakBefore/>
      </w:pPr>
      <w:bookmarkStart w:id="47" w:name="_Toc473820207"/>
      <w:bookmarkStart w:id="48" w:name="_Ref486333187"/>
      <w:bookmarkStart w:id="49" w:name="_Ref486587574"/>
      <w:bookmarkStart w:id="50" w:name="_Ref506460961"/>
      <w:bookmarkStart w:id="51" w:name="_Toc520107710"/>
      <w:r>
        <w:lastRenderedPageBreak/>
        <w:t>Links und Literatur</w:t>
      </w:r>
      <w:bookmarkEnd w:id="47"/>
      <w:bookmarkEnd w:id="48"/>
      <w:bookmarkEnd w:id="49"/>
      <w:bookmarkEnd w:id="50"/>
      <w:bookmarkEnd w:id="51"/>
      <w:r>
        <w:t xml:space="preserve"> </w:t>
      </w:r>
    </w:p>
    <w:p>
      <w:pPr>
        <w:pStyle w:val="TabellenBeschriftungTextBreite"/>
      </w:pPr>
      <w:r>
        <w:t xml:space="preserve">Tabelle </w:t>
      </w:r>
      <w:fldSimple w:instr=" STYLEREF 1 \s  \* MERGEFORMAT ">
        <w:r>
          <w:rPr>
            <w:noProof/>
          </w:rPr>
          <w:t>4</w:t>
        </w:r>
      </w:fldSimple>
      <w:r>
        <w:t>-</w:t>
      </w:r>
      <w:fldSimple w:instr=" SEQ Tabelle \* Arabic \s 1  \* MERGEFORMAT ">
        <w:r>
          <w:rPr>
            <w:noProof/>
          </w:rPr>
          <w:t>1</w:t>
        </w:r>
      </w:fldSimple>
    </w:p>
    <w:tbl>
      <w:tblPr>
        <w:tblStyle w:val="Tabellenraster"/>
        <w:tblW w:w="0" w:type="auto"/>
        <w:tblInd w:w="1247" w:type="dxa"/>
        <w:tblLayout w:type="fixed"/>
        <w:tblLook w:val="04A0" w:firstRow="1" w:lastRow="0" w:firstColumn="1" w:lastColumn="0" w:noHBand="0" w:noVBand="1"/>
      </w:tblPr>
      <w:tblGrid>
        <w:gridCol w:w="562"/>
        <w:gridCol w:w="6912"/>
      </w:tblGrid>
      <w:tr>
        <w:trPr>
          <w:tblHeader/>
        </w:trPr>
        <w:tc>
          <w:tcPr>
            <w:tcW w:w="562" w:type="dxa"/>
            <w:tcBorders>
              <w:bottom w:val="single" w:sz="12" w:space="0" w:color="auto"/>
            </w:tcBorders>
            <w:shd w:val="clear" w:color="auto" w:fill="E6E6E6"/>
          </w:tcPr>
          <w:p>
            <w:pPr>
              <w:pStyle w:val="TabelleKopfzentriert"/>
            </w:pPr>
            <w:r>
              <w:t>Nr.</w:t>
            </w:r>
          </w:p>
        </w:tc>
        <w:tc>
          <w:tcPr>
            <w:tcW w:w="6912" w:type="dxa"/>
            <w:tcBorders>
              <w:bottom w:val="single" w:sz="12" w:space="0" w:color="auto"/>
            </w:tcBorders>
            <w:shd w:val="clear" w:color="auto" w:fill="E6E6E6"/>
          </w:tcPr>
          <w:p>
            <w:pPr>
              <w:pStyle w:val="TabelleKopfzentriert"/>
            </w:pPr>
            <w:r>
              <w:t>Thema</w:t>
            </w:r>
          </w:p>
        </w:tc>
      </w:tr>
      <w:tr>
        <w:tc>
          <w:tcPr>
            <w:tcW w:w="562" w:type="dxa"/>
            <w:tcBorders>
              <w:top w:val="single" w:sz="12" w:space="0" w:color="auto"/>
            </w:tcBorders>
            <w:shd w:val="clear" w:color="auto" w:fill="auto"/>
          </w:tcPr>
          <w:p>
            <w:pPr>
              <w:pStyle w:val="TabelleTextlinks"/>
              <w:keepNext/>
            </w:pPr>
            <w:r>
              <w:t>\1\</w:t>
            </w:r>
          </w:p>
        </w:tc>
        <w:tc>
          <w:tcPr>
            <w:tcW w:w="6912" w:type="dxa"/>
            <w:tcBorders>
              <w:top w:val="single" w:sz="12" w:space="0" w:color="auto"/>
            </w:tcBorders>
            <w:shd w:val="clear" w:color="auto" w:fill="auto"/>
          </w:tcPr>
          <w:p>
            <w:pPr>
              <w:pStyle w:val="TabelleTextlinks"/>
            </w:pPr>
            <w:r>
              <w:t>Siemens Industry Online Support</w:t>
            </w:r>
          </w:p>
          <w:p>
            <w:pPr>
              <w:pStyle w:val="TabelleTextlinks"/>
            </w:pPr>
            <w:hyperlink r:id="rId38" w:history="1">
              <w:r>
                <w:rPr>
                  <w:rStyle w:val="Hyperlink"/>
                </w:rPr>
                <w:t>https://support.industry.siemens.com</w:t>
              </w:r>
            </w:hyperlink>
          </w:p>
        </w:tc>
      </w:tr>
      <w:tr>
        <w:tc>
          <w:tcPr>
            <w:tcW w:w="562" w:type="dxa"/>
            <w:shd w:val="clear" w:color="auto" w:fill="auto"/>
          </w:tcPr>
          <w:p>
            <w:pPr>
              <w:pStyle w:val="TabelleTextlinks"/>
            </w:pPr>
            <w:r>
              <w:t>\2\</w:t>
            </w:r>
          </w:p>
        </w:tc>
        <w:tc>
          <w:tcPr>
            <w:tcW w:w="6912" w:type="dxa"/>
            <w:shd w:val="clear" w:color="auto" w:fill="auto"/>
          </w:tcPr>
          <w:p>
            <w:pPr>
              <w:pStyle w:val="Default"/>
              <w:rPr>
                <w:sz w:val="18"/>
                <w:szCs w:val="18"/>
                <w:lang w:val="de-DE"/>
              </w:rPr>
            </w:pPr>
            <w:r>
              <w:rPr>
                <w:sz w:val="18"/>
                <w:szCs w:val="18"/>
                <w:lang w:val="de-DE"/>
              </w:rPr>
              <w:t xml:space="preserve">Link auf die Beitragsseite des Anwendungsbeispiels </w:t>
            </w:r>
          </w:p>
          <w:bookmarkStart w:id="52" w:name="BIDLink2"/>
          <w:p>
            <w:pPr>
              <w:pStyle w:val="TabelleTextlinks"/>
            </w:pPr>
            <w:r>
              <w:fldChar w:fldCharType="begin"/>
            </w:r>
            <w:r>
              <w:instrText xml:space="preserve"> HYPERLINK "https://support.industry.siemens.com/cs/ww/de/view/109748872" </w:instrText>
            </w:r>
            <w:r>
              <w:fldChar w:fldCharType="separate"/>
            </w:r>
            <w:r>
              <w:rPr>
                <w:rStyle w:val="Hyperlink"/>
              </w:rPr>
              <w:t>https://support.industry.siemens.com/cs/ww/de/view/109748872</w:t>
            </w:r>
            <w:bookmarkEnd w:id="52"/>
            <w:r>
              <w:fldChar w:fldCharType="end"/>
            </w:r>
          </w:p>
        </w:tc>
      </w:tr>
      <w:tr>
        <w:tc>
          <w:tcPr>
            <w:tcW w:w="562" w:type="dxa"/>
            <w:shd w:val="clear" w:color="auto" w:fill="auto"/>
          </w:tcPr>
          <w:p>
            <w:pPr>
              <w:pStyle w:val="TabelleTextlinks"/>
            </w:pPr>
            <w:r>
              <w:t>\3\</w:t>
            </w:r>
          </w:p>
        </w:tc>
        <w:tc>
          <w:tcPr>
            <w:tcW w:w="6912" w:type="dxa"/>
            <w:shd w:val="clear" w:color="auto" w:fill="auto"/>
          </w:tcPr>
          <w:p>
            <w:pPr>
              <w:pStyle w:val="TabelleTextlinks"/>
            </w:pPr>
            <w:r>
              <w:t>MQTT Spezifikation</w:t>
            </w:r>
            <w:r>
              <w:br/>
            </w:r>
            <w:hyperlink r:id="rId39" w:history="1">
              <w:r>
                <w:rPr>
                  <w:rStyle w:val="Hyperlink"/>
                </w:rPr>
                <w:t>http://docs.oasis-open.org/mqtt/mqtt/v3.1.1/os/mqtt-v3.1.1-os.html</w:t>
              </w:r>
            </w:hyperlink>
          </w:p>
        </w:tc>
      </w:tr>
      <w:tr>
        <w:tc>
          <w:tcPr>
            <w:tcW w:w="562" w:type="dxa"/>
            <w:shd w:val="clear" w:color="auto" w:fill="auto"/>
          </w:tcPr>
          <w:p>
            <w:pPr>
              <w:pStyle w:val="TabelleTextlinks"/>
            </w:pPr>
            <w:r>
              <w:t>\4\</w:t>
            </w:r>
          </w:p>
        </w:tc>
        <w:tc>
          <w:tcPr>
            <w:tcW w:w="6912" w:type="dxa"/>
            <w:shd w:val="clear" w:color="auto" w:fill="auto"/>
          </w:tcPr>
          <w:p>
            <w:pPr>
              <w:pStyle w:val="TabelleTextlinks"/>
            </w:pPr>
            <w:r>
              <w:t>Informationen zur „local_device_id“</w:t>
            </w:r>
            <w:r>
              <w:br/>
            </w:r>
            <w:hyperlink r:id="rId40" w:history="1">
              <w:r>
                <w:rPr>
                  <w:rStyle w:val="Hyperlink"/>
                </w:rPr>
                <w:t>https://support.industry.siemens.com/cs/ww/de/view/51339682</w:t>
              </w:r>
            </w:hyperlink>
          </w:p>
        </w:tc>
      </w:tr>
    </w:tbl>
    <w:p>
      <w:pPr>
        <w:pStyle w:val="Blocktext"/>
      </w:pPr>
    </w:p>
    <w:p>
      <w:pPr>
        <w:pStyle w:val="TabellenBeschriftungTextBreite"/>
      </w:pPr>
    </w:p>
    <w:p>
      <w:pPr>
        <w:pStyle w:val="berschrift2"/>
      </w:pPr>
      <w:bookmarkStart w:id="53" w:name="_Toc473820208"/>
      <w:bookmarkStart w:id="54" w:name="_Toc520107711"/>
      <w:r>
        <w:t>Änderungsdokumentation</w:t>
      </w:r>
      <w:bookmarkEnd w:id="53"/>
      <w:bookmarkEnd w:id="54"/>
    </w:p>
    <w:p>
      <w:pPr>
        <w:pStyle w:val="TabellenBeschriftungTextBreite"/>
      </w:pPr>
      <w:r>
        <w:t xml:space="preserve">Tabelle </w:t>
      </w:r>
      <w:fldSimple w:instr=" STYLEREF 1 \s  \* MERGEFORMAT ">
        <w:r>
          <w:rPr>
            <w:noProof/>
          </w:rPr>
          <w:t>4</w:t>
        </w:r>
      </w:fldSimple>
      <w:r>
        <w:t>-</w:t>
      </w:r>
      <w:fldSimple w:instr=" SEQ Tabelle \* Arabic \s 1  \* MERGEFORMAT ">
        <w:r>
          <w:rPr>
            <w:noProof/>
          </w:rPr>
          <w:t>2</w:t>
        </w:r>
      </w:fldSimple>
    </w:p>
    <w:tbl>
      <w:tblPr>
        <w:tblStyle w:val="Tabellenraster"/>
        <w:tblW w:w="0" w:type="auto"/>
        <w:tblInd w:w="1247" w:type="dxa"/>
        <w:tblLook w:val="04A0" w:firstRow="1" w:lastRow="0" w:firstColumn="1" w:lastColumn="0" w:noHBand="0" w:noVBand="1"/>
      </w:tblPr>
      <w:tblGrid>
        <w:gridCol w:w="1129"/>
        <w:gridCol w:w="1276"/>
        <w:gridCol w:w="4993"/>
      </w:tblGrid>
      <w:tr>
        <w:trPr>
          <w:tblHeader/>
        </w:trPr>
        <w:tc>
          <w:tcPr>
            <w:tcW w:w="1129" w:type="dxa"/>
            <w:tcBorders>
              <w:bottom w:val="single" w:sz="12" w:space="0" w:color="auto"/>
            </w:tcBorders>
            <w:shd w:val="clear" w:color="auto" w:fill="E6E6E6"/>
          </w:tcPr>
          <w:p>
            <w:pPr>
              <w:pStyle w:val="TabelleKopfzentriert"/>
            </w:pPr>
            <w:r>
              <w:t>Version</w:t>
            </w:r>
          </w:p>
        </w:tc>
        <w:tc>
          <w:tcPr>
            <w:tcW w:w="1276" w:type="dxa"/>
            <w:tcBorders>
              <w:bottom w:val="single" w:sz="12" w:space="0" w:color="auto"/>
            </w:tcBorders>
            <w:shd w:val="clear" w:color="auto" w:fill="E6E6E6"/>
          </w:tcPr>
          <w:p>
            <w:pPr>
              <w:pStyle w:val="TabelleKopfzentriert"/>
            </w:pPr>
            <w:r>
              <w:t>Datum</w:t>
            </w:r>
          </w:p>
        </w:tc>
        <w:tc>
          <w:tcPr>
            <w:tcW w:w="4993" w:type="dxa"/>
            <w:tcBorders>
              <w:bottom w:val="single" w:sz="12" w:space="0" w:color="auto"/>
            </w:tcBorders>
            <w:shd w:val="clear" w:color="auto" w:fill="E6E6E6"/>
          </w:tcPr>
          <w:p>
            <w:pPr>
              <w:pStyle w:val="TabelleKopfzentriert"/>
            </w:pPr>
            <w:r>
              <w:t>Änderung</w:t>
            </w:r>
          </w:p>
        </w:tc>
      </w:tr>
      <w:tr>
        <w:tc>
          <w:tcPr>
            <w:tcW w:w="1129" w:type="dxa"/>
            <w:tcBorders>
              <w:top w:val="single" w:sz="12" w:space="0" w:color="auto"/>
            </w:tcBorders>
            <w:shd w:val="clear" w:color="auto" w:fill="auto"/>
          </w:tcPr>
          <w:p>
            <w:pPr>
              <w:pStyle w:val="TabelleTextlinks"/>
              <w:keepNext/>
              <w:jc w:val="center"/>
            </w:pPr>
            <w:r>
              <w:t>V1.0</w:t>
            </w:r>
          </w:p>
        </w:tc>
        <w:tc>
          <w:tcPr>
            <w:tcW w:w="1276" w:type="dxa"/>
            <w:tcBorders>
              <w:top w:val="single" w:sz="12" w:space="0" w:color="auto"/>
            </w:tcBorders>
            <w:shd w:val="clear" w:color="auto" w:fill="auto"/>
          </w:tcPr>
          <w:p>
            <w:pPr>
              <w:pStyle w:val="TabelleTextlinks"/>
              <w:jc w:val="center"/>
            </w:pPr>
            <w:r>
              <w:t>03/2018</w:t>
            </w:r>
          </w:p>
        </w:tc>
        <w:tc>
          <w:tcPr>
            <w:tcW w:w="4993" w:type="dxa"/>
            <w:tcBorders>
              <w:top w:val="single" w:sz="12" w:space="0" w:color="auto"/>
            </w:tcBorders>
            <w:shd w:val="clear" w:color="auto" w:fill="auto"/>
          </w:tcPr>
          <w:p>
            <w:pPr>
              <w:pStyle w:val="TabelleTextlinks"/>
            </w:pPr>
            <w:r>
              <w:t>Erste Ausgabe</w:t>
            </w:r>
          </w:p>
        </w:tc>
      </w:tr>
      <w:tr>
        <w:tc>
          <w:tcPr>
            <w:tcW w:w="1129" w:type="dxa"/>
            <w:shd w:val="clear" w:color="auto" w:fill="auto"/>
          </w:tcPr>
          <w:p>
            <w:pPr>
              <w:pStyle w:val="TabelleTextlinks"/>
              <w:jc w:val="center"/>
            </w:pPr>
            <w:r>
              <w:t>V1.1</w:t>
            </w:r>
          </w:p>
        </w:tc>
        <w:tc>
          <w:tcPr>
            <w:tcW w:w="1276" w:type="dxa"/>
            <w:shd w:val="clear" w:color="auto" w:fill="auto"/>
          </w:tcPr>
          <w:p>
            <w:pPr>
              <w:pStyle w:val="TabelleTextlinks"/>
              <w:jc w:val="center"/>
            </w:pPr>
            <w:r>
              <w:t>08/2018</w:t>
            </w:r>
          </w:p>
        </w:tc>
        <w:tc>
          <w:tcPr>
            <w:tcW w:w="4993" w:type="dxa"/>
            <w:shd w:val="clear" w:color="auto" w:fill="auto"/>
          </w:tcPr>
          <w:p>
            <w:pPr>
              <w:pStyle w:val="TabelleTextlinks"/>
              <w:rPr>
                <w:lang w:val="en-US"/>
              </w:rPr>
            </w:pPr>
            <w:r>
              <w:rPr>
                <w:lang w:val="en-US"/>
              </w:rPr>
              <w:t>Bibliothek "LMqttQdn" für SIMATIC S7-1500</w:t>
            </w:r>
          </w:p>
        </w:tc>
      </w:tr>
    </w:tbl>
    <w:p>
      <w:pPr>
        <w:pStyle w:val="Blocktext"/>
        <w:rPr>
          <w:lang w:val="en-US"/>
        </w:rPr>
      </w:pPr>
    </w:p>
    <w:p>
      <w:pPr>
        <w:pStyle w:val="Blocktext"/>
        <w:rPr>
          <w:lang w:val="en-US"/>
        </w:rPr>
      </w:pPr>
    </w:p>
    <w:sectPr>
      <w:headerReference w:type="even" r:id="rId41"/>
      <w:headerReference w:type="default" r:id="rId42"/>
      <w:pgSz w:w="11907" w:h="16839" w:code="9"/>
      <w:pgMar w:top="1134" w:right="1701" w:bottom="1701" w:left="1701" w:header="1134"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entennial 45 Light">
    <w:altName w:val="Trebuchet MS"/>
    <w:charset w:val="00"/>
    <w:family w:val="auto"/>
    <w:pitch w:val="variable"/>
    <w:sig w:usb0="80000027"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Siemens Serif Semibold">
    <w:altName w:val="Times New Roman"/>
    <w:panose1 w:val="00000000000000000000"/>
    <w:charset w:val="00"/>
    <w:family w:val="auto"/>
    <w:pitch w:val="variable"/>
    <w:sig w:usb0="800000AF" w:usb1="0000204B" w:usb2="00000000" w:usb3="00000000" w:csb0="00000093" w:csb1="00000000"/>
  </w:font>
  <w:font w:name="Siemens Sans">
    <w:altName w:val="Times New Roman"/>
    <w:panose1 w:val="00000000000000000000"/>
    <w:charset w:val="00"/>
    <w:family w:val="auto"/>
    <w:pitch w:val="variable"/>
    <w:sig w:usb0="800000AF" w:usb1="0000204B" w:usb2="00000000" w:usb3="00000000" w:csb0="00000093" w:csb1="00000000"/>
  </w:font>
  <w:font w:name="Siemens Sans Black">
    <w:panose1 w:val="00000000000000000000"/>
    <w:charset w:val="00"/>
    <w:family w:val="auto"/>
    <w:pitch w:val="variable"/>
    <w:sig w:usb0="800000AF" w:usb1="0000204B" w:usb2="00000000" w:usb3="00000000" w:csb0="00000093"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28"/>
      <w:gridCol w:w="7893"/>
    </w:tblGrid>
    <w:tr>
      <w:tc>
        <w:tcPr>
          <w:tcW w:w="828" w:type="dxa"/>
          <w:vAlign w:val="bottom"/>
        </w:tcPr>
        <w:p>
          <w:pPr>
            <w:pStyle w:val="FuzeileSeitenzahl"/>
            <w:jc w:val="left"/>
          </w:pPr>
          <w:r>
            <w:fldChar w:fldCharType="begin"/>
          </w:r>
          <w:r>
            <w:instrText xml:space="preserve"> PAGE \* MERGEFORMAT </w:instrText>
          </w:r>
          <w:r>
            <w:fldChar w:fldCharType="separate"/>
          </w:r>
          <w:r>
            <w:rPr>
              <w:noProof/>
            </w:rPr>
            <w:t>4</w:t>
          </w:r>
          <w:r>
            <w:fldChar w:fldCharType="end"/>
          </w:r>
        </w:p>
      </w:tc>
      <w:tc>
        <w:tcPr>
          <w:tcW w:w="7893" w:type="dxa"/>
        </w:tcPr>
        <w:p>
          <w:pPr>
            <w:pStyle w:val="Fuzeile"/>
            <w:jc w:val="right"/>
          </w:pPr>
          <w:fldSimple w:instr=" DOCPROPERTY &quot;AB-Kurztitel&quot; \* MERGEFORMAT ">
            <w:r>
              <w:t>MQTT_Publish_unsecure</w:t>
            </w:r>
          </w:fldSimple>
        </w:p>
        <w:p>
          <w:pPr>
            <w:pStyle w:val="Fuzeile"/>
            <w:jc w:val="right"/>
          </w:pPr>
          <w:fldSimple w:instr=" DOCPROPERTY &quot;Version-Ident.-Nr.&quot; \* MERGEFORMAT ">
            <w:r>
              <w:t>V1.1</w:t>
            </w:r>
          </w:fldSimple>
          <w:r>
            <w:t xml:space="preserve">, </w:t>
          </w:r>
          <w:r>
            <w:rPr>
              <w:szCs w:val="20"/>
            </w:rPr>
            <w:t xml:space="preserve">Beitrags-ID: </w:t>
          </w:r>
          <w:r>
            <w:rPr>
              <w:szCs w:val="20"/>
            </w:rPr>
            <w:fldChar w:fldCharType="begin"/>
          </w:r>
          <w:r>
            <w:rPr>
              <w:szCs w:val="20"/>
            </w:rPr>
            <w:instrText xml:space="preserve"> DOCPROPERTY "ID-Nummer" \* MERGEFORMAT </w:instrText>
          </w:r>
          <w:r>
            <w:rPr>
              <w:szCs w:val="20"/>
            </w:rPr>
            <w:fldChar w:fldCharType="separate"/>
          </w:r>
          <w:r>
            <w:rPr>
              <w:szCs w:val="20"/>
            </w:rPr>
            <w:t>109748872</w:t>
          </w:r>
          <w:r>
            <w:rPr>
              <w:szCs w:val="20"/>
            </w:rPr>
            <w:fldChar w:fldCharType="end"/>
          </w:r>
        </w:p>
      </w:tc>
    </w:tr>
  </w:tbl>
  <w:p>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7788"/>
      <w:gridCol w:w="933"/>
    </w:tblGrid>
    <w:tr>
      <w:tc>
        <w:tcPr>
          <w:tcW w:w="7788" w:type="dxa"/>
        </w:tcPr>
        <w:p>
          <w:pPr>
            <w:pStyle w:val="Fuzeile"/>
          </w:pPr>
          <w:fldSimple w:instr=" DOCPROPERTY &quot;AB-Kurztitel&quot; \* MERGEFORMAT ">
            <w:r>
              <w:t>MQTT_Publish_unsecure</w:t>
            </w:r>
          </w:fldSimple>
        </w:p>
        <w:p>
          <w:pPr>
            <w:pStyle w:val="Fuzeile"/>
          </w:pPr>
          <w:r>
            <w:rPr>
              <w:szCs w:val="20"/>
            </w:rPr>
            <w:t xml:space="preserve">Beitrags-ID: </w:t>
          </w:r>
          <w:r>
            <w:rPr>
              <w:szCs w:val="20"/>
            </w:rPr>
            <w:fldChar w:fldCharType="begin"/>
          </w:r>
          <w:r>
            <w:rPr>
              <w:szCs w:val="20"/>
            </w:rPr>
            <w:instrText xml:space="preserve"> DOCPROPERTY "ID-Nummer" \* MERGEFORMAT </w:instrText>
          </w:r>
          <w:r>
            <w:rPr>
              <w:szCs w:val="20"/>
            </w:rPr>
            <w:fldChar w:fldCharType="separate"/>
          </w:r>
          <w:r>
            <w:rPr>
              <w:szCs w:val="20"/>
            </w:rPr>
            <w:t>109748872</w:t>
          </w:r>
          <w:r>
            <w:rPr>
              <w:szCs w:val="20"/>
            </w:rPr>
            <w:fldChar w:fldCharType="end"/>
          </w:r>
          <w:r>
            <w:rPr>
              <w:szCs w:val="20"/>
            </w:rPr>
            <w:t>,    </w:t>
          </w:r>
          <w:fldSimple w:instr=" DOCPROPERTY &quot;Version-Ident.-Nr.&quot; \* MERGEFORMAT ">
            <w:r>
              <w:t>V1.1</w:t>
            </w:r>
          </w:fldSimple>
          <w:r>
            <w:t>,    </w:t>
          </w:r>
          <w:fldSimple w:instr=" DOCPROPERTY  Datum  \* MERGEFORMAT ">
            <w:r>
              <w:t>08/2018</w:t>
            </w:r>
          </w:fldSimple>
        </w:p>
      </w:tc>
      <w:tc>
        <w:tcPr>
          <w:tcW w:w="933" w:type="dxa"/>
          <w:vAlign w:val="bottom"/>
        </w:tcPr>
        <w:p>
          <w:pPr>
            <w:pStyle w:val="FuzeileSeitenzahl"/>
          </w:pPr>
          <w:r>
            <w:fldChar w:fldCharType="begin"/>
          </w:r>
          <w:r>
            <w:instrText xml:space="preserve"> PAGE \* MERGEFORMAT </w:instrText>
          </w:r>
          <w:r>
            <w:fldChar w:fldCharType="separate"/>
          </w:r>
          <w:r>
            <w:rPr>
              <w:noProof/>
            </w:rPr>
            <w:t>1</w:t>
          </w:r>
          <w:r>
            <w:fldChar w:fldCharType="end"/>
          </w:r>
        </w:p>
      </w:tc>
    </w:tr>
  </w:tbl>
  <w:p>
    <w:pPr>
      <w:pStyle w:val="Fuzeile"/>
      <w:rPr>
        <w:lang w:val="fr-F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Kopfzeile"/>
    </w:pPr>
  </w:p>
  <w:p>
    <w:pPr>
      <w:pStyle w:val="Fuzeil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5211"/>
      <w:gridCol w:w="2577"/>
      <w:gridCol w:w="933"/>
    </w:tblGrid>
    <w:tr>
      <w:tc>
        <w:tcPr>
          <w:tcW w:w="5211" w:type="dxa"/>
        </w:tcPr>
        <w:p>
          <w:pPr>
            <w:pStyle w:val="Fuzeile"/>
          </w:pPr>
          <w:fldSimple w:instr=" DOCPROPERTY &quot;AB-Kurztitel&quot; \* MERGEFORMAT ">
            <w:r>
              <w:t>MQTT_Publish_unsecure</w:t>
            </w:r>
          </w:fldSimple>
        </w:p>
        <w:p>
          <w:pPr>
            <w:pStyle w:val="Fuzeile"/>
          </w:pPr>
          <w:r>
            <w:rPr>
              <w:szCs w:val="20"/>
            </w:rPr>
            <w:t xml:space="preserve">Beitrags-ID: </w:t>
          </w:r>
          <w:r>
            <w:rPr>
              <w:szCs w:val="20"/>
            </w:rPr>
            <w:fldChar w:fldCharType="begin"/>
          </w:r>
          <w:r>
            <w:rPr>
              <w:szCs w:val="20"/>
            </w:rPr>
            <w:instrText xml:space="preserve"> DOCPROPERTY "ID-Nummer" \* MERGEFORMAT </w:instrText>
          </w:r>
          <w:r>
            <w:rPr>
              <w:szCs w:val="20"/>
            </w:rPr>
            <w:fldChar w:fldCharType="separate"/>
          </w:r>
          <w:r>
            <w:rPr>
              <w:szCs w:val="20"/>
            </w:rPr>
            <w:t>109748872</w:t>
          </w:r>
          <w:r>
            <w:rPr>
              <w:szCs w:val="20"/>
            </w:rPr>
            <w:fldChar w:fldCharType="end"/>
          </w:r>
          <w:r>
            <w:rPr>
              <w:szCs w:val="20"/>
            </w:rPr>
            <w:t>,    </w:t>
          </w:r>
          <w:fldSimple w:instr=" DOCPROPERTY &quot;Version-Ident.-Nr.&quot; \* MERGEFORMAT ">
            <w:r>
              <w:t>V1.1</w:t>
            </w:r>
          </w:fldSimple>
          <w:r>
            <w:t>,    </w:t>
          </w:r>
          <w:fldSimple w:instr=" DOCPROPERTY  Datum  \* MERGEFORMAT ">
            <w:r>
              <w:t>08/2018</w:t>
            </w:r>
          </w:fldSimple>
        </w:p>
      </w:tc>
      <w:tc>
        <w:tcPr>
          <w:tcW w:w="2577" w:type="dxa"/>
          <w:vAlign w:val="bottom"/>
        </w:tcPr>
        <w:p>
          <w:pPr>
            <w:pStyle w:val="Fuzeile"/>
            <w:jc w:val="center"/>
          </w:pPr>
          <w:r>
            <w:rPr>
              <w:b/>
              <w:sz w:val="24"/>
            </w:rPr>
            <w:fldChar w:fldCharType="begin"/>
          </w:r>
          <w:r>
            <w:rPr>
              <w:b/>
              <w:sz w:val="24"/>
            </w:rPr>
            <w:instrText xml:space="preserve"> DOCPROPERTY "Classification"  \* MERGEFORMAT </w:instrText>
          </w:r>
          <w:r>
            <w:rPr>
              <w:b/>
              <w:sz w:val="24"/>
            </w:rPr>
            <w:fldChar w:fldCharType="separate"/>
          </w:r>
          <w:r>
            <w:rPr>
              <w:b/>
              <w:bCs/>
              <w:sz w:val="24"/>
            </w:rPr>
            <w:t xml:space="preserve"> </w:t>
          </w:r>
          <w:r>
            <w:rPr>
              <w:b/>
              <w:sz w:val="24"/>
            </w:rPr>
            <w:fldChar w:fldCharType="end"/>
          </w:r>
        </w:p>
      </w:tc>
      <w:tc>
        <w:tcPr>
          <w:tcW w:w="933" w:type="dxa"/>
          <w:vAlign w:val="bottom"/>
        </w:tcPr>
        <w:p>
          <w:pPr>
            <w:pStyle w:val="FuzeileSeitenzahl"/>
          </w:pPr>
          <w:r>
            <w:fldChar w:fldCharType="begin"/>
          </w:r>
          <w:r>
            <w:instrText xml:space="preserve"> PAGE \* MERGEFORMAT </w:instrText>
          </w:r>
          <w:r>
            <w:fldChar w:fldCharType="separate"/>
          </w:r>
          <w:r>
            <w:rPr>
              <w:noProof/>
            </w:rPr>
            <w:t>19</w:t>
          </w:r>
          <w:r>
            <w:fldChar w:fldCharType="end"/>
          </w:r>
        </w:p>
      </w:tc>
    </w:tr>
  </w:tbl>
  <w:p>
    <w:pPr>
      <w:pStyle w:val="Fuzeile"/>
      <w:rPr>
        <w:lang w:val="fr-F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pPr>
          <w:fldSimple w:instr=" DOCPROPERTY &quot;AB-Kurztitel&quot;  \* MERGEFORMAT ">
            <w:r>
              <w:t>MQTT_Publish_unsecure</w:t>
            </w:r>
          </w:fldSimple>
          <w:r>
            <w:fldChar w:fldCharType="begin"/>
          </w:r>
          <w:r>
            <w:instrText xml:space="preserve"> STYLEREF "Blocktext" \* MERGEFORMAT </w:instrText>
          </w:r>
          <w:r>
            <w:fldChar w:fldCharType="end"/>
          </w:r>
          <w:r>
            <w:fldChar w:fldCharType="begin"/>
          </w:r>
          <w:r>
            <w:instrText xml:space="preserve"> STYLEREF "Blocktext" \* MERGEFORMAT </w:instrText>
          </w:r>
          <w:r>
            <w:fldChar w:fldCharType="end"/>
          </w:r>
        </w:p>
      </w:tc>
    </w:tr>
    <w:tr>
      <w:tc>
        <w:tcPr>
          <w:tcW w:w="8721" w:type="dxa"/>
          <w:tcBorders>
            <w:top w:val="single" w:sz="4" w:space="0" w:color="auto"/>
          </w:tcBorders>
        </w:tcPr>
        <w:p>
          <w:pPr>
            <w:pStyle w:val="Kopfzeile"/>
          </w:pPr>
        </w:p>
      </w:tc>
    </w:tr>
  </w:tbl>
  <w:p>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pPr>
          <w:r>
            <w:fldChar w:fldCharType="begin"/>
          </w:r>
          <w:r>
            <w:instrText xml:space="preserve"> STYLEREF "Blocktext" \* MERGEFORMAT </w:instrText>
          </w:r>
          <w:r>
            <w:fldChar w:fldCharType="end"/>
          </w:r>
        </w:p>
      </w:tc>
    </w:tr>
    <w:tr>
      <w:tc>
        <w:tcPr>
          <w:tcW w:w="8721" w:type="dxa"/>
          <w:tcBorders>
            <w:top w:val="single" w:sz="4" w:space="0" w:color="auto"/>
          </w:tcBorders>
        </w:tcPr>
        <w:p>
          <w:pPr>
            <w:pStyle w:val="Kopfzeile"/>
            <w:jc w:val="left"/>
          </w:pPr>
          <w:r>
            <w:fldChar w:fldCharType="begin"/>
          </w:r>
          <w:r>
            <w:instrText xml:space="preserve"> STYLEREF "Blocktext" \* MERGEFORMAT </w:instrText>
          </w:r>
          <w:r>
            <w:fldChar w:fldCharType="end"/>
          </w:r>
        </w:p>
      </w:tc>
    </w:tr>
  </w:tbl>
  <w:p>
    <w:pPr>
      <w:pStyle w:val="Kopfzeile"/>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Kopfzeile"/>
    </w:pPr>
    <w:r>
      <w:rPr>
        <w:noProof/>
        <w:lang w:eastAsia="de-DE"/>
      </w:rPr>
      <w:drawing>
        <wp:anchor distT="0" distB="0" distL="114300" distR="114300" simplePos="0" relativeHeight="251663360" behindDoc="1" locked="0" layoutInCell="1" allowOverlap="1">
          <wp:simplePos x="0" y="0"/>
          <wp:positionH relativeFrom="column">
            <wp:posOffset>-1091565</wp:posOffset>
          </wp:positionH>
          <wp:positionV relativeFrom="paragraph">
            <wp:posOffset>-209731</wp:posOffset>
          </wp:positionV>
          <wp:extent cx="7778337" cy="10913423"/>
          <wp:effectExtent l="0" t="0" r="0" b="254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48_Onlinesupport-Visual_160412-1.png"/>
                  <pic:cNvPicPr/>
                </pic:nvPicPr>
                <pic:blipFill rotWithShape="1">
                  <a:blip r:embed="rId1" cstate="print">
                    <a:extLst>
                      <a:ext uri="{28A0092B-C50C-407E-A947-70E740481C1C}">
                        <a14:useLocalDpi xmlns:a14="http://schemas.microsoft.com/office/drawing/2010/main"/>
                      </a:ext>
                    </a:extLst>
                  </a:blip>
                  <a:srcRect/>
                  <a:stretch/>
                </pic:blipFill>
                <pic:spPr bwMode="auto">
                  <a:xfrm>
                    <a:off x="0" y="0"/>
                    <a:ext cx="7778337" cy="1091342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64384" behindDoc="0" locked="1" layoutInCell="0" allowOverlap="1">
          <wp:simplePos x="0" y="0"/>
          <wp:positionH relativeFrom="page">
            <wp:posOffset>5048885</wp:posOffset>
          </wp:positionH>
          <wp:positionV relativeFrom="page">
            <wp:posOffset>728345</wp:posOffset>
          </wp:positionV>
          <wp:extent cx="2016000" cy="856800"/>
          <wp:effectExtent l="0" t="0" r="3810" b="635"/>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2016000" cy="856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pPr>
          <w:fldSimple w:instr=" STYLEREF  Überschrift_Übersicht  \* MERGEFORMAT ">
            <w:r>
              <w:rPr>
                <w:noProof/>
              </w:rPr>
              <w:t>Rechtliche Hinweise</w:t>
            </w:r>
          </w:fldSimple>
        </w:p>
      </w:tc>
    </w:tr>
  </w:tbl>
  <w:p>
    <w:pPr>
      <w:pStyle w:val="Seitenrandklein"/>
      <w:framePr w:w="567" w:h="12474" w:wrap="around" w:vAnchor="page" w:hAnchor="page" w:x="568" w:yAlign="center"/>
      <w:textDirection w:val="btLr"/>
      <w:rPr>
        <w:lang w:val="en-US"/>
      </w:rPr>
    </w:pPr>
    <w:r>
      <w:rPr>
        <w:lang w:val="en-US"/>
      </w:rPr>
      <w:t xml:space="preserve">Copyright </w:t>
    </w:r>
    <w:r>
      <w:sym w:font="Symbol" w:char="F0E3"/>
    </w:r>
    <w:r>
      <w:rPr>
        <w:lang w:val="en-US"/>
      </w:rPr>
      <w:t xml:space="preserve"> Siemens AG </w:t>
    </w:r>
    <w:r>
      <w:fldChar w:fldCharType="begin"/>
    </w:r>
    <w:r>
      <w:rPr>
        <w:lang w:val="en-US"/>
      </w:rPr>
      <w:instrText xml:space="preserve"> DOCPROPERTY "Copyright-Jahr"  \* MERGEFORMAT </w:instrText>
    </w:r>
    <w:r>
      <w:fldChar w:fldCharType="separate"/>
    </w:r>
    <w:r>
      <w:rPr>
        <w:lang w:val="en-US"/>
      </w:rPr>
      <w:t>2018</w:t>
    </w:r>
    <w:r>
      <w:fldChar w:fldCharType="end"/>
    </w:r>
    <w:r>
      <w:rPr>
        <w:lang w:val="en-US"/>
      </w:rPr>
      <w:t xml:space="preserve"> All rights reserved</w:t>
    </w:r>
  </w:p>
  <w:p>
    <w:pPr>
      <w:pStyle w:val="Kopfzeile"/>
      <w:rPr>
        <w:lang w:val="en-U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Seitenrandklein"/>
      <w:framePr w:w="567" w:h="12474" w:wrap="around" w:vAnchor="page" w:hAnchor="page" w:x="568" w:yAlign="center"/>
      <w:textDirection w:val="btLr"/>
      <w:rPr>
        <w:lang w:val="en-US"/>
      </w:rPr>
    </w:pPr>
    <w:r>
      <w:sym w:font="Symbol" w:char="F0E3"/>
    </w:r>
    <w:r>
      <w:rPr>
        <w:lang w:val="en-US"/>
      </w:rPr>
      <w:t xml:space="preserve"> Siemens AG </w:t>
    </w:r>
    <w:r>
      <w:fldChar w:fldCharType="begin"/>
    </w:r>
    <w:r>
      <w:rPr>
        <w:lang w:val="en-US"/>
      </w:rPr>
      <w:instrText xml:space="preserve"> DOCPROPERTY "Copyright-Jahr"  \* MERGEFORMAT </w:instrText>
    </w:r>
    <w:r>
      <w:fldChar w:fldCharType="separate"/>
    </w:r>
    <w:r>
      <w:rPr>
        <w:lang w:val="en-US"/>
      </w:rPr>
      <w:t>2018</w:t>
    </w:r>
    <w:r>
      <w:fldChar w:fldCharType="end"/>
    </w:r>
    <w:r>
      <w:rPr>
        <w:lang w:val="en-US"/>
      </w:rPr>
      <w:t xml:space="preserve"> All rights reserved</w:t>
    </w:r>
  </w:p>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pPr>
          <w:fldSimple w:instr=" STYLEREF  Überschrift_Übersicht  \* MERGEFORMAT ">
            <w:r>
              <w:rPr>
                <w:bCs/>
                <w:noProof/>
              </w:rPr>
              <w:t>Rechtliche Hinweise</w:t>
            </w:r>
          </w:fldSimple>
        </w:p>
      </w:tc>
    </w:tr>
  </w:tbl>
  <w:p>
    <w:pPr>
      <w:pStyle w:val="Kopfzeile"/>
      <w:jc w:val="lef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pPr>
          <w:fldSimple w:instr=" STYLEREF  Überschrift_Inhaltsverzeichnis  \* MERGEFORMAT ">
            <w:r>
              <w:rPr>
                <w:noProof/>
              </w:rPr>
              <w:t>Inhaltsverzeichnis</w:t>
            </w:r>
          </w:fldSimple>
        </w:p>
      </w:tc>
    </w:tr>
  </w:tbl>
  <w:p>
    <w:pPr>
      <w:pStyle w:val="Seitenrandklein"/>
      <w:framePr w:w="567" w:h="12474" w:wrap="around" w:vAnchor="page" w:hAnchor="page" w:x="568" w:yAlign="center"/>
      <w:textDirection w:val="btLr"/>
      <w:rPr>
        <w:lang w:val="en-US"/>
      </w:rPr>
    </w:pPr>
    <w:r>
      <w:rPr>
        <w:lang w:val="en-US"/>
      </w:rPr>
      <w:t xml:space="preserve">Copyright </w:t>
    </w:r>
    <w:r>
      <w:sym w:font="Symbol" w:char="F0E3"/>
    </w:r>
    <w:r>
      <w:rPr>
        <w:lang w:val="en-US"/>
      </w:rPr>
      <w:t xml:space="preserve"> Siemens AG </w:t>
    </w:r>
    <w:r>
      <w:fldChar w:fldCharType="begin"/>
    </w:r>
    <w:r>
      <w:rPr>
        <w:lang w:val="en-US"/>
      </w:rPr>
      <w:instrText xml:space="preserve"> DOCPROPERTY "Copyright-Jahr"  \* MERGEFORMAT </w:instrText>
    </w:r>
    <w:r>
      <w:fldChar w:fldCharType="separate"/>
    </w:r>
    <w:r>
      <w:rPr>
        <w:lang w:val="en-US"/>
      </w:rPr>
      <w:t>2018</w:t>
    </w:r>
    <w:r>
      <w:fldChar w:fldCharType="end"/>
    </w:r>
    <w:r>
      <w:rPr>
        <w:lang w:val="en-US"/>
      </w:rPr>
      <w:t xml:space="preserve"> All rights reserved</w:t>
    </w:r>
  </w:p>
  <w:p>
    <w:pPr>
      <w:pStyle w:val="Kopfzeile"/>
      <w:rPr>
        <w:lang w:val="en-US"/>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Seitenrandklein"/>
      <w:framePr w:w="567" w:h="12474" w:wrap="around" w:vAnchor="page" w:hAnchor="page" w:x="568" w:yAlign="center"/>
      <w:textDirection w:val="btLr"/>
      <w:rPr>
        <w:lang w:val="en-US"/>
      </w:rPr>
    </w:pPr>
    <w:r>
      <w:sym w:font="Symbol" w:char="F0E3"/>
    </w:r>
    <w:r>
      <w:rPr>
        <w:lang w:val="en-US"/>
      </w:rPr>
      <w:t xml:space="preserve"> Siemens AG </w:t>
    </w:r>
    <w:r>
      <w:fldChar w:fldCharType="begin"/>
    </w:r>
    <w:r>
      <w:rPr>
        <w:lang w:val="en-US"/>
      </w:rPr>
      <w:instrText xml:space="preserve"> DOCPROPERTY "Copyright-Jahr"  \* MERGEFORMAT </w:instrText>
    </w:r>
    <w:r>
      <w:fldChar w:fldCharType="separate"/>
    </w:r>
    <w:r>
      <w:rPr>
        <w:lang w:val="en-US"/>
      </w:rPr>
      <w:t>2018</w:t>
    </w:r>
    <w:r>
      <w:fldChar w:fldCharType="end"/>
    </w:r>
    <w:r>
      <w:rPr>
        <w:lang w:val="en-US"/>
      </w:rPr>
      <w:t xml:space="preserve"> All rights reserved</w:t>
    </w:r>
  </w:p>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pPr>
          <w:fldSimple w:instr=" STYLEREF  Überschrift_Inhaltsverzeichnis  \* MERGEFORMAT ">
            <w:r>
              <w:rPr>
                <w:noProof/>
              </w:rPr>
              <w:t>Inhaltsverzeichnis</w:t>
            </w:r>
          </w:fldSimple>
        </w:p>
      </w:tc>
    </w:tr>
  </w:tbl>
  <w:p>
    <w:pPr>
      <w:pStyle w:val="Kopfzeile"/>
      <w:jc w:val="lef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fldSimple w:instr=" STYLEREF 1 \n  \* MERGEFORMAT ">
            <w:r>
              <w:rPr>
                <w:bCs/>
                <w:noProof/>
              </w:rPr>
              <w:t>1</w:t>
            </w:r>
          </w:fldSimple>
          <w:r>
            <w:t xml:space="preserve"> </w:t>
          </w:r>
          <w:fldSimple w:instr=" STYLEREF 1 \* MERGEFORMAT ">
            <w:r>
              <w:rPr>
                <w:bCs/>
                <w:noProof/>
              </w:rPr>
              <w:t>Einführung</w:t>
            </w:r>
          </w:fldSimple>
        </w:p>
      </w:tc>
    </w:tr>
    <w:tr>
      <w:tc>
        <w:tcPr>
          <w:tcW w:w="8721" w:type="dxa"/>
          <w:tcBorders>
            <w:top w:val="single" w:sz="4" w:space="0" w:color="auto"/>
          </w:tcBorders>
        </w:tcPr>
        <w:p>
          <w:pPr>
            <w:spacing w:before="60"/>
            <w:rPr>
              <w:i/>
            </w:rPr>
          </w:pPr>
        </w:p>
      </w:tc>
    </w:tr>
  </w:tbl>
  <w:p>
    <w:pPr>
      <w:pStyle w:val="Seitenrandklein"/>
      <w:framePr w:w="567" w:h="12474" w:wrap="around" w:vAnchor="page" w:hAnchor="page" w:x="568" w:yAlign="center"/>
      <w:textDirection w:val="btLr"/>
      <w:rPr>
        <w:lang w:val="en-US"/>
      </w:rPr>
    </w:pPr>
    <w:r>
      <w:rPr>
        <w:lang w:val="en-US"/>
      </w:rPr>
      <w:t xml:space="preserve">Copyright </w:t>
    </w:r>
    <w:r>
      <w:sym w:font="Symbol" w:char="F0E3"/>
    </w:r>
    <w:r>
      <w:rPr>
        <w:lang w:val="en-US"/>
      </w:rPr>
      <w:t xml:space="preserve"> Siemens AG </w:t>
    </w:r>
    <w:r>
      <w:fldChar w:fldCharType="begin"/>
    </w:r>
    <w:r>
      <w:rPr>
        <w:lang w:val="en-US"/>
      </w:rPr>
      <w:instrText xml:space="preserve"> DOCPROPERTY "Copyright-Jahr"  \* MERGEFORMAT </w:instrText>
    </w:r>
    <w:r>
      <w:fldChar w:fldCharType="separate"/>
    </w:r>
    <w:r>
      <w:rPr>
        <w:lang w:val="en-US"/>
      </w:rPr>
      <w:t>2018</w:t>
    </w:r>
    <w:r>
      <w:fldChar w:fldCharType="end"/>
    </w:r>
    <w:r>
      <w:rPr>
        <w:lang w:val="en-US"/>
      </w:rPr>
      <w:t xml:space="preserve"> All rights reserved</w:t>
    </w:r>
  </w:p>
  <w:p>
    <w:pPr>
      <w:rPr>
        <w:lang w:val="en-US"/>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Seitenrandklein"/>
      <w:framePr w:w="567" w:h="12474" w:wrap="around" w:vAnchor="page" w:hAnchor="page" w:x="568" w:yAlign="center"/>
      <w:textDirection w:val="btLr"/>
      <w:rPr>
        <w:lang w:val="en-US"/>
      </w:rPr>
    </w:pPr>
    <w:r>
      <w:sym w:font="Symbol" w:char="F0E3"/>
    </w:r>
    <w:r>
      <w:rPr>
        <w:lang w:val="en-US"/>
      </w:rPr>
      <w:t xml:space="preserve"> Siemens AG </w:t>
    </w:r>
    <w:r>
      <w:fldChar w:fldCharType="begin"/>
    </w:r>
    <w:r>
      <w:rPr>
        <w:lang w:val="en-US"/>
      </w:rPr>
      <w:instrText xml:space="preserve"> DOCPROPERTY "Copyright-Jahr"  \* MERGEFORMAT </w:instrText>
    </w:r>
    <w:r>
      <w:fldChar w:fldCharType="separate"/>
    </w:r>
    <w:r>
      <w:rPr>
        <w:lang w:val="en-US"/>
      </w:rPr>
      <w:t>2018</w:t>
    </w:r>
    <w:r>
      <w:fldChar w:fldCharType="end"/>
    </w:r>
    <w:r>
      <w:rPr>
        <w:lang w:val="en-US"/>
      </w:rPr>
      <w:t xml:space="preserve"> All rights reserved</w:t>
    </w:r>
  </w:p>
  <w:tbl>
    <w:tblPr>
      <w:tblW w:w="0" w:type="auto"/>
      <w:tblLook w:val="01E0" w:firstRow="1" w:lastRow="1" w:firstColumn="1" w:lastColumn="1" w:noHBand="0" w:noVBand="0"/>
    </w:tblPr>
    <w:tblGrid>
      <w:gridCol w:w="8721"/>
    </w:tblGrid>
    <w:tr>
      <w:tc>
        <w:tcPr>
          <w:tcW w:w="8721" w:type="dxa"/>
          <w:tcBorders>
            <w:bottom w:val="single" w:sz="4" w:space="0" w:color="auto"/>
          </w:tcBorders>
        </w:tcPr>
        <w:p>
          <w:fldSimple w:instr=" STYLEREF 1 \n  \* MERGEFORMAT ">
            <w:r>
              <w:rPr>
                <w:bCs/>
                <w:noProof/>
              </w:rPr>
              <w:t>3</w:t>
            </w:r>
          </w:fldSimple>
          <w:r>
            <w:t xml:space="preserve"> </w:t>
          </w:r>
          <w:fldSimple w:instr=" STYLEREF 1 \* MERGEFORMAT ">
            <w:r>
              <w:rPr>
                <w:noProof/>
              </w:rPr>
              <w:t>Wissenswertes</w:t>
            </w:r>
          </w:fldSimple>
        </w:p>
      </w:tc>
    </w:tr>
  </w:tbl>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69857DC"/>
    <w:lvl w:ilvl="0">
      <w:start w:val="1"/>
      <w:numFmt w:val="decimal"/>
      <w:pStyle w:val="Listennummer5"/>
      <w:lvlText w:val="%1."/>
      <w:lvlJc w:val="left"/>
      <w:pPr>
        <w:tabs>
          <w:tab w:val="num" w:pos="1492"/>
        </w:tabs>
        <w:ind w:left="1492" w:hanging="360"/>
      </w:pPr>
    </w:lvl>
  </w:abstractNum>
  <w:abstractNum w:abstractNumId="1">
    <w:nsid w:val="FFFFFF7D"/>
    <w:multiLevelType w:val="singleLevel"/>
    <w:tmpl w:val="119C049C"/>
    <w:lvl w:ilvl="0">
      <w:start w:val="1"/>
      <w:numFmt w:val="decimal"/>
      <w:pStyle w:val="Listennummer4"/>
      <w:lvlText w:val="%1."/>
      <w:lvlJc w:val="left"/>
      <w:pPr>
        <w:tabs>
          <w:tab w:val="num" w:pos="1209"/>
        </w:tabs>
        <w:ind w:left="1209" w:hanging="360"/>
      </w:pPr>
    </w:lvl>
  </w:abstractNum>
  <w:abstractNum w:abstractNumId="2">
    <w:nsid w:val="FFFFFF7E"/>
    <w:multiLevelType w:val="singleLevel"/>
    <w:tmpl w:val="574E9FE2"/>
    <w:lvl w:ilvl="0">
      <w:start w:val="1"/>
      <w:numFmt w:val="decimal"/>
      <w:pStyle w:val="Listennummer3"/>
      <w:lvlText w:val="%1."/>
      <w:lvlJc w:val="left"/>
      <w:pPr>
        <w:tabs>
          <w:tab w:val="num" w:pos="926"/>
        </w:tabs>
        <w:ind w:left="926" w:hanging="360"/>
      </w:pPr>
    </w:lvl>
  </w:abstractNum>
  <w:abstractNum w:abstractNumId="3">
    <w:nsid w:val="FFFFFF7F"/>
    <w:multiLevelType w:val="singleLevel"/>
    <w:tmpl w:val="721C178A"/>
    <w:lvl w:ilvl="0">
      <w:start w:val="1"/>
      <w:numFmt w:val="decimal"/>
      <w:pStyle w:val="Listennummer2"/>
      <w:lvlText w:val="%1."/>
      <w:lvlJc w:val="left"/>
      <w:pPr>
        <w:tabs>
          <w:tab w:val="num" w:pos="643"/>
        </w:tabs>
        <w:ind w:left="643" w:hanging="360"/>
      </w:pPr>
    </w:lvl>
  </w:abstractNum>
  <w:abstractNum w:abstractNumId="4">
    <w:nsid w:val="FFFFFF88"/>
    <w:multiLevelType w:val="singleLevel"/>
    <w:tmpl w:val="45CAE7C0"/>
    <w:lvl w:ilvl="0">
      <w:start w:val="1"/>
      <w:numFmt w:val="decimal"/>
      <w:pStyle w:val="Listennummer"/>
      <w:lvlText w:val="%1."/>
      <w:lvlJc w:val="left"/>
      <w:pPr>
        <w:tabs>
          <w:tab w:val="num" w:pos="360"/>
        </w:tabs>
        <w:ind w:left="360" w:hanging="360"/>
      </w:pPr>
    </w:lvl>
  </w:abstractNum>
  <w:abstractNum w:abstractNumId="5">
    <w:nsid w:val="FFFFFF89"/>
    <w:multiLevelType w:val="singleLevel"/>
    <w:tmpl w:val="BD8090B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nsid w:val="03C07AA9"/>
    <w:multiLevelType w:val="hybridMultilevel"/>
    <w:tmpl w:val="6090F834"/>
    <w:lvl w:ilvl="0" w:tplc="9ECA2D2C">
      <w:start w:val="1"/>
      <w:numFmt w:val="bullet"/>
      <w:pStyle w:val="TabelleBulletText1"/>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04AB4497"/>
    <w:multiLevelType w:val="multilevel"/>
    <w:tmpl w:val="09B6D964"/>
    <w:lvl w:ilvl="0">
      <w:start w:val="1"/>
      <w:numFmt w:val="decimal"/>
      <w:pStyle w:val="berschrift1"/>
      <w:lvlText w:val="%1"/>
      <w:lvlJc w:val="left"/>
      <w:pPr>
        <w:tabs>
          <w:tab w:val="num" w:pos="1134"/>
        </w:tabs>
        <w:ind w:left="1134" w:hanging="1134"/>
      </w:pPr>
      <w:rPr>
        <w:rFonts w:hint="default"/>
      </w:rPr>
    </w:lvl>
    <w:lvl w:ilvl="1">
      <w:start w:val="1"/>
      <w:numFmt w:val="decimal"/>
      <w:pStyle w:val="berschrift2"/>
      <w:lvlText w:val="%1.%2"/>
      <w:lvlJc w:val="left"/>
      <w:pPr>
        <w:tabs>
          <w:tab w:val="num" w:pos="1134"/>
        </w:tabs>
        <w:ind w:left="1134" w:hanging="1134"/>
      </w:pPr>
      <w:rPr>
        <w:rFonts w:hint="default"/>
      </w:rPr>
    </w:lvl>
    <w:lvl w:ilvl="2">
      <w:start w:val="1"/>
      <w:numFmt w:val="decimal"/>
      <w:pStyle w:val="berschrift3"/>
      <w:lvlText w:val="%1.%2.%3"/>
      <w:lvlJc w:val="left"/>
      <w:pPr>
        <w:tabs>
          <w:tab w:val="num" w:pos="3402"/>
        </w:tabs>
        <w:ind w:left="3402" w:hanging="1134"/>
      </w:pPr>
      <w:rPr>
        <w:rFonts w:hint="default"/>
      </w:rPr>
    </w:lvl>
    <w:lvl w:ilvl="3">
      <w:start w:val="1"/>
      <w:numFmt w:val="decimal"/>
      <w:pStyle w:val="berschrift4"/>
      <w:lvlText w:val="%1.%2.%3.%4"/>
      <w:lvlJc w:val="left"/>
      <w:pPr>
        <w:tabs>
          <w:tab w:val="num" w:pos="3402"/>
        </w:tabs>
        <w:ind w:left="3402" w:hanging="1134"/>
      </w:pPr>
      <w:rPr>
        <w:rFonts w:hint="default"/>
      </w:rPr>
    </w:lvl>
    <w:lvl w:ilvl="4">
      <w:start w:val="1"/>
      <w:numFmt w:val="decimal"/>
      <w:pStyle w:val="berschrift5"/>
      <w:lvlText w:val="%1.%2.%3.%4.%5"/>
      <w:lvlJc w:val="left"/>
      <w:pPr>
        <w:tabs>
          <w:tab w:val="num" w:pos="3402"/>
        </w:tabs>
        <w:ind w:left="3402" w:hanging="1134"/>
      </w:pPr>
      <w:rPr>
        <w:rFonts w:hint="default"/>
      </w:rPr>
    </w:lvl>
    <w:lvl w:ilvl="5">
      <w:start w:val="1"/>
      <w:numFmt w:val="decimal"/>
      <w:pStyle w:val="berschrift6"/>
      <w:lvlText w:val="%1.%2.%3.%4.%5.%6"/>
      <w:lvlJc w:val="left"/>
      <w:pPr>
        <w:tabs>
          <w:tab w:val="num" w:pos="3419"/>
        </w:tabs>
        <w:ind w:left="3419" w:hanging="1151"/>
      </w:pPr>
      <w:rPr>
        <w:rFonts w:hint="default"/>
      </w:rPr>
    </w:lvl>
    <w:lvl w:ilvl="6">
      <w:start w:val="1"/>
      <w:numFmt w:val="decimal"/>
      <w:pStyle w:val="berschrift7"/>
      <w:lvlText w:val="%1.%2.%3.%4.%5.%6.%7"/>
      <w:lvlJc w:val="left"/>
      <w:pPr>
        <w:tabs>
          <w:tab w:val="num" w:pos="3566"/>
        </w:tabs>
        <w:ind w:left="3566" w:hanging="1298"/>
      </w:pPr>
      <w:rPr>
        <w:rFonts w:hint="default"/>
      </w:rPr>
    </w:lvl>
    <w:lvl w:ilvl="7">
      <w:start w:val="1"/>
      <w:numFmt w:val="decimal"/>
      <w:pStyle w:val="berschrift8"/>
      <w:lvlText w:val="%1.%2.%3.%4.%5.%6.%7.%8"/>
      <w:lvlJc w:val="left"/>
      <w:pPr>
        <w:tabs>
          <w:tab w:val="num" w:pos="3708"/>
        </w:tabs>
        <w:ind w:left="3708" w:hanging="1440"/>
      </w:pPr>
      <w:rPr>
        <w:rFonts w:hint="default"/>
      </w:rPr>
    </w:lvl>
    <w:lvl w:ilvl="8">
      <w:start w:val="1"/>
      <w:numFmt w:val="decimal"/>
      <w:lvlText w:val="%1.%2.%3.%4.%5.%6.%7.%8.%9"/>
      <w:lvlJc w:val="left"/>
      <w:pPr>
        <w:tabs>
          <w:tab w:val="num" w:pos="3799"/>
        </w:tabs>
        <w:ind w:left="3799" w:hanging="1531"/>
      </w:pPr>
      <w:rPr>
        <w:rFonts w:hint="default"/>
      </w:rPr>
    </w:lvl>
  </w:abstractNum>
  <w:abstractNum w:abstractNumId="8">
    <w:nsid w:val="085D7EF9"/>
    <w:multiLevelType w:val="hybridMultilevel"/>
    <w:tmpl w:val="5ADAC196"/>
    <w:lvl w:ilvl="0" w:tplc="3104F13E">
      <w:start w:val="1"/>
      <w:numFmt w:val="bullet"/>
      <w:pStyle w:val="BulletText1"/>
      <w:lvlText w:val=""/>
      <w:lvlJc w:val="left"/>
      <w:pPr>
        <w:tabs>
          <w:tab w:val="num" w:pos="1044"/>
        </w:tabs>
        <w:ind w:left="1041" w:hanging="357"/>
      </w:pPr>
      <w:rPr>
        <w:rFonts w:ascii="Symbol" w:hAnsi="Symbol" w:hint="default"/>
      </w:rPr>
    </w:lvl>
    <w:lvl w:ilvl="1" w:tplc="04070003">
      <w:start w:val="1"/>
      <w:numFmt w:val="bullet"/>
      <w:lvlText w:val="o"/>
      <w:lvlJc w:val="left"/>
      <w:pPr>
        <w:tabs>
          <w:tab w:val="num" w:pos="990"/>
        </w:tabs>
        <w:ind w:left="990" w:hanging="360"/>
      </w:pPr>
      <w:rPr>
        <w:rFonts w:ascii="Courier New" w:hAnsi="Courier New" w:hint="default"/>
      </w:rPr>
    </w:lvl>
    <w:lvl w:ilvl="2" w:tplc="04070005" w:tentative="1">
      <w:start w:val="1"/>
      <w:numFmt w:val="bullet"/>
      <w:lvlText w:val=""/>
      <w:lvlJc w:val="left"/>
      <w:pPr>
        <w:tabs>
          <w:tab w:val="num" w:pos="1710"/>
        </w:tabs>
        <w:ind w:left="1710" w:hanging="360"/>
      </w:pPr>
      <w:rPr>
        <w:rFonts w:ascii="Wingdings" w:hAnsi="Wingdings" w:hint="default"/>
      </w:rPr>
    </w:lvl>
    <w:lvl w:ilvl="3" w:tplc="04070001" w:tentative="1">
      <w:start w:val="1"/>
      <w:numFmt w:val="bullet"/>
      <w:lvlText w:val=""/>
      <w:lvlJc w:val="left"/>
      <w:pPr>
        <w:tabs>
          <w:tab w:val="num" w:pos="2430"/>
        </w:tabs>
        <w:ind w:left="2430" w:hanging="360"/>
      </w:pPr>
      <w:rPr>
        <w:rFonts w:ascii="Symbol" w:hAnsi="Symbol" w:hint="default"/>
      </w:rPr>
    </w:lvl>
    <w:lvl w:ilvl="4" w:tplc="04070003" w:tentative="1">
      <w:start w:val="1"/>
      <w:numFmt w:val="bullet"/>
      <w:lvlText w:val="o"/>
      <w:lvlJc w:val="left"/>
      <w:pPr>
        <w:tabs>
          <w:tab w:val="num" w:pos="3150"/>
        </w:tabs>
        <w:ind w:left="3150" w:hanging="360"/>
      </w:pPr>
      <w:rPr>
        <w:rFonts w:ascii="Courier New" w:hAnsi="Courier New" w:hint="default"/>
      </w:rPr>
    </w:lvl>
    <w:lvl w:ilvl="5" w:tplc="04070005" w:tentative="1">
      <w:start w:val="1"/>
      <w:numFmt w:val="bullet"/>
      <w:lvlText w:val=""/>
      <w:lvlJc w:val="left"/>
      <w:pPr>
        <w:tabs>
          <w:tab w:val="num" w:pos="3870"/>
        </w:tabs>
        <w:ind w:left="3870" w:hanging="360"/>
      </w:pPr>
      <w:rPr>
        <w:rFonts w:ascii="Wingdings" w:hAnsi="Wingdings" w:hint="default"/>
      </w:rPr>
    </w:lvl>
    <w:lvl w:ilvl="6" w:tplc="04070001" w:tentative="1">
      <w:start w:val="1"/>
      <w:numFmt w:val="bullet"/>
      <w:lvlText w:val=""/>
      <w:lvlJc w:val="left"/>
      <w:pPr>
        <w:tabs>
          <w:tab w:val="num" w:pos="4590"/>
        </w:tabs>
        <w:ind w:left="4590" w:hanging="360"/>
      </w:pPr>
      <w:rPr>
        <w:rFonts w:ascii="Symbol" w:hAnsi="Symbol" w:hint="default"/>
      </w:rPr>
    </w:lvl>
    <w:lvl w:ilvl="7" w:tplc="04070003" w:tentative="1">
      <w:start w:val="1"/>
      <w:numFmt w:val="bullet"/>
      <w:lvlText w:val="o"/>
      <w:lvlJc w:val="left"/>
      <w:pPr>
        <w:tabs>
          <w:tab w:val="num" w:pos="5310"/>
        </w:tabs>
        <w:ind w:left="5310" w:hanging="360"/>
      </w:pPr>
      <w:rPr>
        <w:rFonts w:ascii="Courier New" w:hAnsi="Courier New" w:hint="default"/>
      </w:rPr>
    </w:lvl>
    <w:lvl w:ilvl="8" w:tplc="04070005" w:tentative="1">
      <w:start w:val="1"/>
      <w:numFmt w:val="bullet"/>
      <w:lvlText w:val=""/>
      <w:lvlJc w:val="left"/>
      <w:pPr>
        <w:tabs>
          <w:tab w:val="num" w:pos="6030"/>
        </w:tabs>
        <w:ind w:left="6030" w:hanging="360"/>
      </w:pPr>
      <w:rPr>
        <w:rFonts w:ascii="Wingdings" w:hAnsi="Wingdings" w:hint="default"/>
      </w:rPr>
    </w:lvl>
  </w:abstractNum>
  <w:abstractNum w:abstractNumId="9">
    <w:nsid w:val="0930161F"/>
    <w:multiLevelType w:val="multilevel"/>
    <w:tmpl w:val="D4520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D1A4FBE"/>
    <w:multiLevelType w:val="multilevel"/>
    <w:tmpl w:val="DDE07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08620EC"/>
    <w:multiLevelType w:val="multilevel"/>
    <w:tmpl w:val="4C025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2017215"/>
    <w:multiLevelType w:val="multilevel"/>
    <w:tmpl w:val="B812F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A1C53EC"/>
    <w:multiLevelType w:val="multilevel"/>
    <w:tmpl w:val="8D7A2BA2"/>
    <w:lvl w:ilvl="0">
      <w:start w:val="1"/>
      <w:numFmt w:val="decimal"/>
      <w:pStyle w:val="TabelleNummerierteZeile"/>
      <w:lvlText w:val="%1"/>
      <w:lvlJc w:val="right"/>
      <w:pPr>
        <w:tabs>
          <w:tab w:val="num" w:pos="717"/>
        </w:tabs>
        <w:ind w:left="357"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nsid w:val="25253834"/>
    <w:multiLevelType w:val="multilevel"/>
    <w:tmpl w:val="E14CB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A7B7B3E"/>
    <w:multiLevelType w:val="multilevel"/>
    <w:tmpl w:val="7F2E75FA"/>
    <w:lvl w:ilvl="0">
      <w:start w:val="1"/>
      <w:numFmt w:val="decimal"/>
      <w:pStyle w:val="TabelleNummerierteListe"/>
      <w:lvlText w:val="%1."/>
      <w:lvlJc w:val="left"/>
      <w:pPr>
        <w:tabs>
          <w:tab w:val="num" w:pos="360"/>
        </w:tabs>
        <w:ind w:left="357" w:hanging="357"/>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6">
    <w:nsid w:val="2C463FA0"/>
    <w:multiLevelType w:val="multilevel"/>
    <w:tmpl w:val="230C0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D3E5448"/>
    <w:multiLevelType w:val="multilevel"/>
    <w:tmpl w:val="E272E052"/>
    <w:lvl w:ilvl="0">
      <w:start w:val="1"/>
      <w:numFmt w:val="decimal"/>
      <w:pStyle w:val="h1heading1"/>
      <w:lvlText w:val="%1"/>
      <w:lvlJc w:val="left"/>
      <w:pPr>
        <w:tabs>
          <w:tab w:val="num" w:pos="0"/>
        </w:tabs>
        <w:ind w:left="0" w:hanging="2268"/>
      </w:pPr>
      <w:rPr>
        <w:rFonts w:ascii="Arial Unicode MS" w:eastAsia="Arial Unicode MS" w:hAnsi="Arial Unicode MS" w:cs="Arial Unicode MS" w:hint="eastAsia"/>
      </w:rPr>
    </w:lvl>
    <w:lvl w:ilvl="1">
      <w:start w:val="1"/>
      <w:numFmt w:val="decimal"/>
      <w:pStyle w:val="h2heading2"/>
      <w:lvlText w:val="%1.%2"/>
      <w:lvlJc w:val="left"/>
      <w:pPr>
        <w:tabs>
          <w:tab w:val="num" w:pos="-1134"/>
        </w:tabs>
        <w:ind w:left="-1134" w:hanging="1134"/>
      </w:pPr>
      <w:rPr>
        <w:rFonts w:ascii="Arial Unicode MS" w:eastAsia="Arial Unicode MS" w:hAnsi="Arial Unicode MS" w:cs="Arial Unicode MS" w:hint="eastAsia"/>
      </w:rPr>
    </w:lvl>
    <w:lvl w:ilvl="2">
      <w:start w:val="1"/>
      <w:numFmt w:val="decimal"/>
      <w:pStyle w:val="h3heading3"/>
      <w:lvlText w:val="%1.%2.%3"/>
      <w:lvlJc w:val="left"/>
      <w:pPr>
        <w:tabs>
          <w:tab w:val="num" w:pos="-1134"/>
        </w:tabs>
        <w:ind w:left="-1134" w:hanging="1134"/>
      </w:pPr>
      <w:rPr>
        <w:rFonts w:ascii="Arial Unicode MS" w:eastAsia="Arial Unicode MS" w:hAnsi="Arial Unicode MS" w:cs="Arial Unicode MS" w:hint="eastAsia"/>
      </w:rPr>
    </w:lvl>
    <w:lvl w:ilvl="3">
      <w:start w:val="1"/>
      <w:numFmt w:val="decimal"/>
      <w:pStyle w:val="h4heading4"/>
      <w:lvlText w:val="%1.%2.%3.%4"/>
      <w:lvlJc w:val="left"/>
      <w:pPr>
        <w:tabs>
          <w:tab w:val="num" w:pos="-1134"/>
        </w:tabs>
        <w:ind w:left="-1134" w:hanging="1134"/>
      </w:pPr>
      <w:rPr>
        <w:rFonts w:ascii="Arial Unicode MS" w:eastAsia="Arial Unicode MS" w:hAnsi="Arial Unicode MS" w:cs="Arial Unicode MS" w:hint="eastAsia"/>
      </w:rPr>
    </w:lvl>
    <w:lvl w:ilvl="4">
      <w:start w:val="1"/>
      <w:numFmt w:val="decimal"/>
      <w:lvlRestart w:val="0"/>
      <w:suff w:val="space"/>
      <w:lvlText w:val="Bild %1-%5."/>
      <w:lvlJc w:val="left"/>
      <w:pPr>
        <w:ind w:left="0" w:firstLine="0"/>
      </w:pPr>
      <w:rPr>
        <w:rFonts w:cs="Times New Roman" w:hint="default"/>
      </w:rPr>
    </w:lvl>
    <w:lvl w:ilvl="5">
      <w:start w:val="1"/>
      <w:numFmt w:val="decimal"/>
      <w:lvlRestart w:val="0"/>
      <w:suff w:val="space"/>
      <w:lvlText w:val="Tabelle %1-%6."/>
      <w:lvlJc w:val="left"/>
      <w:pPr>
        <w:ind w:left="0" w:firstLine="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8">
    <w:nsid w:val="3CE67ABA"/>
    <w:multiLevelType w:val="multilevel"/>
    <w:tmpl w:val="89109332"/>
    <w:name w:val="lt_ol_1"/>
    <w:lvl w:ilvl="0">
      <w:start w:val="1"/>
      <w:numFmt w:val="decimal"/>
      <w:suff w:val="nothing"/>
      <w:lvlText w:val=""/>
      <w:lvlJc w:val="left"/>
      <w:pPr>
        <w:tabs>
          <w:tab w:val="num" w:pos="360"/>
        </w:tabs>
      </w:pPr>
      <w:rPr>
        <w:rFonts w:ascii="Times New Roman" w:hAnsi="Times New Roman" w:cs="Times New Roman"/>
        <w:b w:val="0"/>
        <w:bCs w:val="0"/>
        <w:i w:val="0"/>
        <w:iCs w:val="0"/>
        <w:caps w:val="0"/>
        <w:smallCaps w:val="0"/>
        <w:strike w:val="0"/>
        <w:dstrike w:val="0"/>
        <w:vanish w:val="0"/>
        <w:color w:val="auto"/>
        <w:spacing w:val="0"/>
        <w:w w:val="100"/>
        <w:kern w:val="0"/>
        <w:position w:val="0"/>
        <w:sz w:val="24"/>
        <w:szCs w:val="24"/>
        <w:u w:val="none" w:color="00000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tabs>
          <w:tab w:val="num" w:pos="283"/>
        </w:tabs>
        <w:ind w:left="283" w:hanging="283"/>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429341B2"/>
    <w:multiLevelType w:val="multilevel"/>
    <w:tmpl w:val="4AF4F19A"/>
    <w:lvl w:ilvl="0">
      <w:start w:val="1"/>
      <w:numFmt w:val="lowerLetter"/>
      <w:pStyle w:val="NummerierteListe2"/>
      <w:lvlText w:val="%1."/>
      <w:lvlJc w:val="left"/>
      <w:pPr>
        <w:ind w:left="1854" w:hanging="360"/>
      </w:pPr>
    </w:lvl>
    <w:lvl w:ilvl="1">
      <w:start w:val="1"/>
      <w:numFmt w:val="lowerLetter"/>
      <w:lvlText w:val="%2."/>
      <w:lvlJc w:val="left"/>
      <w:pPr>
        <w:ind w:left="2574" w:hanging="360"/>
      </w:pPr>
    </w:lvl>
    <w:lvl w:ilvl="2" w:tentative="1">
      <w:start w:val="1"/>
      <w:numFmt w:val="lowerRoman"/>
      <w:lvlText w:val="%3."/>
      <w:lvlJc w:val="right"/>
      <w:pPr>
        <w:ind w:left="3294" w:hanging="180"/>
      </w:pPr>
    </w:lvl>
    <w:lvl w:ilvl="3" w:tentative="1">
      <w:start w:val="1"/>
      <w:numFmt w:val="decimal"/>
      <w:lvlText w:val="%4."/>
      <w:lvlJc w:val="left"/>
      <w:pPr>
        <w:ind w:left="4014" w:hanging="360"/>
      </w:pPr>
    </w:lvl>
    <w:lvl w:ilvl="4" w:tentative="1">
      <w:start w:val="1"/>
      <w:numFmt w:val="lowerLetter"/>
      <w:lvlText w:val="%5."/>
      <w:lvlJc w:val="left"/>
      <w:pPr>
        <w:ind w:left="4734" w:hanging="360"/>
      </w:pPr>
    </w:lvl>
    <w:lvl w:ilvl="5" w:tentative="1">
      <w:start w:val="1"/>
      <w:numFmt w:val="lowerRoman"/>
      <w:lvlText w:val="%6."/>
      <w:lvlJc w:val="right"/>
      <w:pPr>
        <w:ind w:left="5454" w:hanging="180"/>
      </w:pPr>
    </w:lvl>
    <w:lvl w:ilvl="6" w:tentative="1">
      <w:start w:val="1"/>
      <w:numFmt w:val="decimal"/>
      <w:lvlText w:val="%7."/>
      <w:lvlJc w:val="left"/>
      <w:pPr>
        <w:ind w:left="6174" w:hanging="360"/>
      </w:pPr>
    </w:lvl>
    <w:lvl w:ilvl="7" w:tentative="1">
      <w:start w:val="1"/>
      <w:numFmt w:val="lowerLetter"/>
      <w:lvlText w:val="%8."/>
      <w:lvlJc w:val="left"/>
      <w:pPr>
        <w:ind w:left="6894" w:hanging="360"/>
      </w:pPr>
    </w:lvl>
    <w:lvl w:ilvl="8" w:tentative="1">
      <w:start w:val="1"/>
      <w:numFmt w:val="lowerRoman"/>
      <w:lvlText w:val="%9."/>
      <w:lvlJc w:val="right"/>
      <w:pPr>
        <w:ind w:left="7614" w:hanging="180"/>
      </w:pPr>
    </w:lvl>
  </w:abstractNum>
  <w:abstractNum w:abstractNumId="20">
    <w:nsid w:val="43CE0537"/>
    <w:multiLevelType w:val="hybridMultilevel"/>
    <w:tmpl w:val="45484DBE"/>
    <w:lvl w:ilvl="0" w:tplc="70A60966">
      <w:start w:val="1"/>
      <w:numFmt w:val="bullet"/>
      <w:pStyle w:val="BulletText2"/>
      <w:lvlText w:val="–"/>
      <w:lvlJc w:val="left"/>
      <w:pPr>
        <w:tabs>
          <w:tab w:val="num" w:pos="1851"/>
        </w:tabs>
        <w:ind w:left="1848" w:hanging="357"/>
      </w:pPr>
      <w:rPr>
        <w:rFonts w:ascii="Centennial 45 Light" w:hAnsi="Centennial 45 Light"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43D87C50"/>
    <w:multiLevelType w:val="multilevel"/>
    <w:tmpl w:val="94703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C837534"/>
    <w:multiLevelType w:val="multilevel"/>
    <w:tmpl w:val="2BBAC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4546F8B"/>
    <w:multiLevelType w:val="multilevel"/>
    <w:tmpl w:val="EF60F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94E5994"/>
    <w:multiLevelType w:val="multilevel"/>
    <w:tmpl w:val="71D0C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F3D7002"/>
    <w:multiLevelType w:val="multilevel"/>
    <w:tmpl w:val="BE5E9E70"/>
    <w:lvl w:ilvl="0">
      <w:start w:val="1"/>
      <w:numFmt w:val="decimal"/>
      <w:pStyle w:val="NummerierteListe"/>
      <w:lvlText w:val="%1."/>
      <w:lvlJc w:val="left"/>
      <w:pPr>
        <w:ind w:left="1495" w:hanging="360"/>
      </w:pPr>
    </w:lvl>
    <w:lvl w:ilvl="1">
      <w:start w:val="1"/>
      <w:numFmt w:val="lowerLetter"/>
      <w:lvlText w:val="%2."/>
      <w:lvlJc w:val="left"/>
      <w:pPr>
        <w:ind w:left="2218" w:hanging="360"/>
      </w:pPr>
    </w:lvl>
    <w:lvl w:ilvl="2" w:tentative="1">
      <w:start w:val="1"/>
      <w:numFmt w:val="lowerRoman"/>
      <w:lvlText w:val="%3."/>
      <w:lvlJc w:val="right"/>
      <w:pPr>
        <w:ind w:left="2938" w:hanging="180"/>
      </w:pPr>
    </w:lvl>
    <w:lvl w:ilvl="3" w:tentative="1">
      <w:start w:val="1"/>
      <w:numFmt w:val="decimal"/>
      <w:lvlText w:val="%4."/>
      <w:lvlJc w:val="left"/>
      <w:pPr>
        <w:ind w:left="3658" w:hanging="360"/>
      </w:pPr>
    </w:lvl>
    <w:lvl w:ilvl="4" w:tentative="1">
      <w:start w:val="1"/>
      <w:numFmt w:val="lowerLetter"/>
      <w:lvlText w:val="%5."/>
      <w:lvlJc w:val="left"/>
      <w:pPr>
        <w:ind w:left="4378" w:hanging="360"/>
      </w:pPr>
    </w:lvl>
    <w:lvl w:ilvl="5" w:tentative="1">
      <w:start w:val="1"/>
      <w:numFmt w:val="lowerRoman"/>
      <w:lvlText w:val="%6."/>
      <w:lvlJc w:val="right"/>
      <w:pPr>
        <w:ind w:left="5098" w:hanging="180"/>
      </w:pPr>
    </w:lvl>
    <w:lvl w:ilvl="6" w:tentative="1">
      <w:start w:val="1"/>
      <w:numFmt w:val="decimal"/>
      <w:lvlText w:val="%7."/>
      <w:lvlJc w:val="left"/>
      <w:pPr>
        <w:ind w:left="5818" w:hanging="360"/>
      </w:pPr>
    </w:lvl>
    <w:lvl w:ilvl="7" w:tentative="1">
      <w:start w:val="1"/>
      <w:numFmt w:val="lowerLetter"/>
      <w:lvlText w:val="%8."/>
      <w:lvlJc w:val="left"/>
      <w:pPr>
        <w:ind w:left="6538" w:hanging="360"/>
      </w:pPr>
    </w:lvl>
    <w:lvl w:ilvl="8" w:tentative="1">
      <w:start w:val="1"/>
      <w:numFmt w:val="lowerRoman"/>
      <w:lvlText w:val="%9."/>
      <w:lvlJc w:val="right"/>
      <w:pPr>
        <w:ind w:left="7258" w:hanging="180"/>
      </w:pPr>
    </w:lvl>
  </w:abstractNum>
  <w:abstractNum w:abstractNumId="26">
    <w:nsid w:val="609D3EDD"/>
    <w:multiLevelType w:val="multilevel"/>
    <w:tmpl w:val="42D44F86"/>
    <w:lvl w:ilvl="0">
      <w:start w:val="1"/>
      <w:numFmt w:val="lowerLetter"/>
      <w:pStyle w:val="TabelleNummerierteListe2"/>
      <w:lvlText w:val="%1."/>
      <w:lvlJc w:val="left"/>
      <w:pPr>
        <w:ind w:left="720" w:hanging="360"/>
      </w:p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7">
    <w:nsid w:val="6573385E"/>
    <w:multiLevelType w:val="multilevel"/>
    <w:tmpl w:val="65862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59D10FB"/>
    <w:multiLevelType w:val="multilevel"/>
    <w:tmpl w:val="BD8C134C"/>
    <w:lvl w:ilvl="0">
      <w:start w:val="1"/>
      <w:numFmt w:val="decimal"/>
      <w:pStyle w:val="TabelleAutoNummerierung"/>
      <w:lvlText w:val="%1."/>
      <w:lvlJc w:val="left"/>
      <w:pPr>
        <w:tabs>
          <w:tab w:val="num" w:pos="357"/>
        </w:tabs>
        <w:ind w:left="357" w:hanging="357"/>
      </w:pPr>
      <w:rPr>
        <w:rFonts w:hint="default"/>
      </w:rPr>
    </w:lvl>
    <w:lvl w:ilvl="1" w:tentative="1">
      <w:start w:val="1"/>
      <w:numFmt w:val="lowerLetter"/>
      <w:lvlText w:val="%2."/>
      <w:lvlJc w:val="left"/>
      <w:pPr>
        <w:ind w:left="1505" w:hanging="360"/>
      </w:pPr>
    </w:lvl>
    <w:lvl w:ilvl="2" w:tentative="1">
      <w:start w:val="1"/>
      <w:numFmt w:val="lowerRoman"/>
      <w:lvlText w:val="%3."/>
      <w:lvlJc w:val="right"/>
      <w:pPr>
        <w:ind w:left="2225" w:hanging="180"/>
      </w:pPr>
    </w:lvl>
    <w:lvl w:ilvl="3" w:tentative="1">
      <w:start w:val="1"/>
      <w:numFmt w:val="decimal"/>
      <w:lvlText w:val="%4."/>
      <w:lvlJc w:val="left"/>
      <w:pPr>
        <w:ind w:left="2945" w:hanging="360"/>
      </w:pPr>
    </w:lvl>
    <w:lvl w:ilvl="4" w:tentative="1">
      <w:start w:val="1"/>
      <w:numFmt w:val="lowerLetter"/>
      <w:lvlText w:val="%5."/>
      <w:lvlJc w:val="left"/>
      <w:pPr>
        <w:ind w:left="3665" w:hanging="360"/>
      </w:pPr>
    </w:lvl>
    <w:lvl w:ilvl="5" w:tentative="1">
      <w:start w:val="1"/>
      <w:numFmt w:val="lowerRoman"/>
      <w:lvlText w:val="%6."/>
      <w:lvlJc w:val="right"/>
      <w:pPr>
        <w:ind w:left="4385" w:hanging="180"/>
      </w:pPr>
    </w:lvl>
    <w:lvl w:ilvl="6" w:tentative="1">
      <w:start w:val="1"/>
      <w:numFmt w:val="decimal"/>
      <w:lvlText w:val="%7."/>
      <w:lvlJc w:val="left"/>
      <w:pPr>
        <w:ind w:left="5105" w:hanging="360"/>
      </w:pPr>
    </w:lvl>
    <w:lvl w:ilvl="7" w:tentative="1">
      <w:start w:val="1"/>
      <w:numFmt w:val="lowerLetter"/>
      <w:lvlText w:val="%8."/>
      <w:lvlJc w:val="left"/>
      <w:pPr>
        <w:ind w:left="5825" w:hanging="360"/>
      </w:pPr>
    </w:lvl>
    <w:lvl w:ilvl="8" w:tentative="1">
      <w:start w:val="1"/>
      <w:numFmt w:val="lowerRoman"/>
      <w:lvlText w:val="%9."/>
      <w:lvlJc w:val="right"/>
      <w:pPr>
        <w:ind w:left="6545" w:hanging="180"/>
      </w:pPr>
    </w:lvl>
  </w:abstractNum>
  <w:abstractNum w:abstractNumId="29">
    <w:nsid w:val="71675F30"/>
    <w:multiLevelType w:val="multilevel"/>
    <w:tmpl w:val="15C0E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1A051A8"/>
    <w:multiLevelType w:val="multilevel"/>
    <w:tmpl w:val="A1F84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7583CBB"/>
    <w:multiLevelType w:val="multilevel"/>
    <w:tmpl w:val="4036E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EB6521F"/>
    <w:multiLevelType w:val="multilevel"/>
    <w:tmpl w:val="78C80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F8A248A"/>
    <w:multiLevelType w:val="hybridMultilevel"/>
    <w:tmpl w:val="975A0136"/>
    <w:lvl w:ilvl="0" w:tplc="65002DF0">
      <w:start w:val="1"/>
      <w:numFmt w:val="bullet"/>
      <w:pStyle w:val="TabelleBulletText2"/>
      <w:lvlText w:val="–"/>
      <w:lvlJc w:val="left"/>
      <w:pPr>
        <w:tabs>
          <w:tab w:val="num" w:pos="851"/>
        </w:tabs>
        <w:ind w:left="567" w:hanging="210"/>
      </w:pPr>
      <w:rPr>
        <w:rFonts w:ascii="Centennial 45 Light" w:hAnsi="Centennial 45 Light" w:hint="default"/>
        <w:sz w:val="16"/>
      </w:rPr>
    </w:lvl>
    <w:lvl w:ilvl="1" w:tplc="04070003">
      <w:start w:val="1"/>
      <w:numFmt w:val="bullet"/>
      <w:lvlText w:val="o"/>
      <w:lvlJc w:val="left"/>
      <w:pPr>
        <w:tabs>
          <w:tab w:val="num" w:pos="2076"/>
        </w:tabs>
        <w:ind w:left="2076" w:hanging="360"/>
      </w:pPr>
      <w:rPr>
        <w:rFonts w:ascii="Courier New" w:hAnsi="Courier New" w:hint="default"/>
      </w:rPr>
    </w:lvl>
    <w:lvl w:ilvl="2" w:tplc="04070005">
      <w:start w:val="1"/>
      <w:numFmt w:val="bullet"/>
      <w:lvlText w:val=""/>
      <w:lvlJc w:val="left"/>
      <w:pPr>
        <w:tabs>
          <w:tab w:val="num" w:pos="2796"/>
        </w:tabs>
        <w:ind w:left="2796" w:hanging="360"/>
      </w:pPr>
      <w:rPr>
        <w:rFonts w:ascii="Wingdings" w:hAnsi="Wingdings" w:hint="default"/>
      </w:rPr>
    </w:lvl>
    <w:lvl w:ilvl="3" w:tplc="04070001" w:tentative="1">
      <w:start w:val="1"/>
      <w:numFmt w:val="bullet"/>
      <w:lvlText w:val=""/>
      <w:lvlJc w:val="left"/>
      <w:pPr>
        <w:tabs>
          <w:tab w:val="num" w:pos="3516"/>
        </w:tabs>
        <w:ind w:left="3516" w:hanging="360"/>
      </w:pPr>
      <w:rPr>
        <w:rFonts w:ascii="Symbol" w:hAnsi="Symbol" w:hint="default"/>
      </w:rPr>
    </w:lvl>
    <w:lvl w:ilvl="4" w:tplc="04070003" w:tentative="1">
      <w:start w:val="1"/>
      <w:numFmt w:val="bullet"/>
      <w:lvlText w:val="o"/>
      <w:lvlJc w:val="left"/>
      <w:pPr>
        <w:tabs>
          <w:tab w:val="num" w:pos="4236"/>
        </w:tabs>
        <w:ind w:left="4236" w:hanging="360"/>
      </w:pPr>
      <w:rPr>
        <w:rFonts w:ascii="Courier New" w:hAnsi="Courier New" w:hint="default"/>
      </w:rPr>
    </w:lvl>
    <w:lvl w:ilvl="5" w:tplc="04070005" w:tentative="1">
      <w:start w:val="1"/>
      <w:numFmt w:val="bullet"/>
      <w:lvlText w:val=""/>
      <w:lvlJc w:val="left"/>
      <w:pPr>
        <w:tabs>
          <w:tab w:val="num" w:pos="4956"/>
        </w:tabs>
        <w:ind w:left="4956" w:hanging="360"/>
      </w:pPr>
      <w:rPr>
        <w:rFonts w:ascii="Wingdings" w:hAnsi="Wingdings" w:hint="default"/>
      </w:rPr>
    </w:lvl>
    <w:lvl w:ilvl="6" w:tplc="04070001" w:tentative="1">
      <w:start w:val="1"/>
      <w:numFmt w:val="bullet"/>
      <w:lvlText w:val=""/>
      <w:lvlJc w:val="left"/>
      <w:pPr>
        <w:tabs>
          <w:tab w:val="num" w:pos="5676"/>
        </w:tabs>
        <w:ind w:left="5676" w:hanging="360"/>
      </w:pPr>
      <w:rPr>
        <w:rFonts w:ascii="Symbol" w:hAnsi="Symbol" w:hint="default"/>
      </w:rPr>
    </w:lvl>
    <w:lvl w:ilvl="7" w:tplc="04070003" w:tentative="1">
      <w:start w:val="1"/>
      <w:numFmt w:val="bullet"/>
      <w:lvlText w:val="o"/>
      <w:lvlJc w:val="left"/>
      <w:pPr>
        <w:tabs>
          <w:tab w:val="num" w:pos="6396"/>
        </w:tabs>
        <w:ind w:left="6396" w:hanging="360"/>
      </w:pPr>
      <w:rPr>
        <w:rFonts w:ascii="Courier New" w:hAnsi="Courier New" w:hint="default"/>
      </w:rPr>
    </w:lvl>
    <w:lvl w:ilvl="8" w:tplc="04070005" w:tentative="1">
      <w:start w:val="1"/>
      <w:numFmt w:val="bullet"/>
      <w:lvlText w:val=""/>
      <w:lvlJc w:val="left"/>
      <w:pPr>
        <w:tabs>
          <w:tab w:val="num" w:pos="7116"/>
        </w:tabs>
        <w:ind w:left="7116" w:hanging="360"/>
      </w:pPr>
      <w:rPr>
        <w:rFonts w:ascii="Wingdings" w:hAnsi="Wingdings" w:hint="default"/>
      </w:rPr>
    </w:lvl>
  </w:abstractNum>
  <w:num w:numId="1">
    <w:abstractNumId w:val="5"/>
  </w:num>
  <w:num w:numId="2">
    <w:abstractNumId w:val="8"/>
  </w:num>
  <w:num w:numId="3">
    <w:abstractNumId w:val="20"/>
  </w:num>
  <w:num w:numId="4">
    <w:abstractNumId w:val="13"/>
  </w:num>
  <w:num w:numId="5">
    <w:abstractNumId w:val="6"/>
  </w:num>
  <w:num w:numId="6">
    <w:abstractNumId w:val="4"/>
  </w:num>
  <w:num w:numId="7">
    <w:abstractNumId w:val="3"/>
  </w:num>
  <w:num w:numId="8">
    <w:abstractNumId w:val="2"/>
  </w:num>
  <w:num w:numId="9">
    <w:abstractNumId w:val="1"/>
  </w:num>
  <w:num w:numId="10">
    <w:abstractNumId w:val="0"/>
  </w:num>
  <w:num w:numId="11">
    <w:abstractNumId w:val="7"/>
  </w:num>
  <w:num w:numId="12">
    <w:abstractNumId w:val="17"/>
  </w:num>
  <w:num w:numId="13">
    <w:abstractNumId w:val="15"/>
  </w:num>
  <w:num w:numId="14">
    <w:abstractNumId w:val="19"/>
  </w:num>
  <w:num w:numId="15">
    <w:abstractNumId w:val="26"/>
  </w:num>
  <w:num w:numId="16">
    <w:abstractNumId w:val="33"/>
  </w:num>
  <w:num w:numId="17">
    <w:abstractNumId w:val="25"/>
  </w:num>
  <w:num w:numId="18">
    <w:abstractNumId w:val="28"/>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6"/>
  </w:num>
  <w:num w:numId="24">
    <w:abstractNumId w:val="22"/>
  </w:num>
  <w:num w:numId="25">
    <w:abstractNumId w:val="32"/>
  </w:num>
  <w:num w:numId="26">
    <w:abstractNumId w:val="23"/>
  </w:num>
  <w:num w:numId="27">
    <w:abstractNumId w:val="14"/>
  </w:num>
  <w:num w:numId="28">
    <w:abstractNumId w:val="21"/>
  </w:num>
  <w:num w:numId="29">
    <w:abstractNumId w:val="9"/>
  </w:num>
  <w:num w:numId="30">
    <w:abstractNumId w:val="10"/>
  </w:num>
  <w:num w:numId="31">
    <w:abstractNumId w:val="27"/>
  </w:num>
  <w:num w:numId="32">
    <w:abstractNumId w:val="31"/>
  </w:num>
  <w:num w:numId="33">
    <w:abstractNumId w:val="12"/>
  </w:num>
  <w:num w:numId="34">
    <w:abstractNumId w:val="29"/>
  </w:num>
  <w:num w:numId="35">
    <w:abstractNumId w:val="24"/>
  </w:num>
  <w:num w:numId="36">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proofState w:grammar="clean"/>
  <w:attachedTemplate r:id="rId1"/>
  <w:linkStyles/>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187"/>
  <w:displayVerticalDrawingGridEvery w:val="2"/>
  <w:noPunctuationKerning/>
  <w:characterSpacingControl w:val="doNotCompress"/>
  <w:hdrShapeDefaults>
    <o:shapedefaults v:ext="edit" spidmax="49153">
      <o:colormru v:ext="edit" colors="#8ca4b0,#dbe0e4,#8ca3b0,#949eaa,#d0d3d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9153">
      <o:colormru v:ext="edit" colors="#8ca4b0,#dbe0e4,#8ca3b0,#949eaa,#d0d3d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uiPriority="2"/>
    <w:lsdException w:name="heading 1" w:qFormat="1"/>
    <w:lsdException w:name="heading 2" w:qFormat="1"/>
    <w:lsdException w:name="heading 3" w:qFormat="1"/>
    <w:lsdException w:name="heading 4" w:qFormat="1"/>
    <w:lsdException w:name="heading 9" w:qFormat="1"/>
    <w:lsdException w:name="toc 1" w:uiPriority="39"/>
    <w:lsdException w:name="toc 3" w:uiPriority="39"/>
    <w:lsdException w:name="footer" w:uiPriority="99"/>
    <w:lsdException w:name="Default Paragraph Font" w:uiPriority="1"/>
    <w:lsdException w:name="Block Text" w:qFormat="1"/>
    <w:lsdException w:name="Hyperlink" w:uiPriority="99"/>
    <w:lsdException w:name="Strong"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rd">
    <w:name w:val="Normal"/>
    <w:uiPriority w:val="2"/>
    <w:rPr>
      <w:rFonts w:ascii="Arial" w:eastAsia="Arial Unicode MS" w:hAnsi="Arial"/>
      <w:szCs w:val="24"/>
      <w:lang w:eastAsia="ja-JP"/>
    </w:rPr>
  </w:style>
  <w:style w:type="paragraph" w:styleId="berschrift1">
    <w:name w:val="heading 1"/>
    <w:basedOn w:val="Standard"/>
    <w:next w:val="berschrift2"/>
    <w:link w:val="berschrift1Zchn"/>
    <w:qFormat/>
    <w:pPr>
      <w:keepNext/>
      <w:keepLines/>
      <w:pageBreakBefore/>
      <w:numPr>
        <w:numId w:val="11"/>
      </w:numPr>
      <w:spacing w:before="80"/>
      <w:outlineLvl w:val="0"/>
    </w:pPr>
    <w:rPr>
      <w:rFonts w:cs="Arial"/>
      <w:b/>
      <w:bCs/>
      <w:kern w:val="32"/>
      <w:sz w:val="36"/>
      <w:szCs w:val="32"/>
    </w:rPr>
  </w:style>
  <w:style w:type="paragraph" w:styleId="berschrift2">
    <w:name w:val="heading 2"/>
    <w:basedOn w:val="Standard"/>
    <w:next w:val="Blocktext"/>
    <w:link w:val="berschrift2Zchn"/>
    <w:qFormat/>
    <w:pPr>
      <w:keepNext/>
      <w:keepLines/>
      <w:numPr>
        <w:ilvl w:val="1"/>
        <w:numId w:val="11"/>
      </w:numPr>
      <w:spacing w:before="240" w:after="240"/>
      <w:outlineLvl w:val="1"/>
    </w:pPr>
    <w:rPr>
      <w:rFonts w:cs="Arial"/>
      <w:b/>
      <w:bCs/>
      <w:iCs/>
      <w:sz w:val="28"/>
      <w:szCs w:val="28"/>
    </w:rPr>
  </w:style>
  <w:style w:type="paragraph" w:styleId="berschrift3">
    <w:name w:val="heading 3"/>
    <w:basedOn w:val="Standard"/>
    <w:next w:val="Blocktext"/>
    <w:link w:val="berschrift3Zchn"/>
    <w:qFormat/>
    <w:pPr>
      <w:keepNext/>
      <w:keepLines/>
      <w:numPr>
        <w:ilvl w:val="2"/>
        <w:numId w:val="11"/>
      </w:numPr>
      <w:spacing w:after="240"/>
      <w:ind w:left="1134"/>
      <w:outlineLvl w:val="2"/>
    </w:pPr>
    <w:rPr>
      <w:rFonts w:cs="Arial"/>
      <w:b/>
      <w:bCs/>
      <w:sz w:val="22"/>
      <w:szCs w:val="26"/>
    </w:rPr>
  </w:style>
  <w:style w:type="paragraph" w:styleId="berschrift4">
    <w:name w:val="heading 4"/>
    <w:basedOn w:val="berschrift3"/>
    <w:next w:val="Blocktext"/>
    <w:link w:val="berschrift4Zchn"/>
    <w:pPr>
      <w:numPr>
        <w:ilvl w:val="3"/>
      </w:numPr>
      <w:ind w:left="1134"/>
      <w:outlineLvl w:val="3"/>
    </w:pPr>
    <w:rPr>
      <w:b w:val="0"/>
      <w:bCs w:val="0"/>
      <w:szCs w:val="28"/>
    </w:rPr>
  </w:style>
  <w:style w:type="paragraph" w:styleId="berschrift5">
    <w:name w:val="heading 5"/>
    <w:basedOn w:val="berschrift3"/>
    <w:next w:val="Standard"/>
    <w:link w:val="berschrift5Zchn"/>
    <w:unhideWhenUsed/>
    <w:pPr>
      <w:numPr>
        <w:ilvl w:val="4"/>
      </w:numPr>
      <w:ind w:left="1134"/>
      <w:outlineLvl w:val="4"/>
    </w:pPr>
    <w:rPr>
      <w:b w:val="0"/>
      <w:bCs w:val="0"/>
      <w:iCs/>
    </w:rPr>
  </w:style>
  <w:style w:type="paragraph" w:styleId="berschrift6">
    <w:name w:val="heading 6"/>
    <w:basedOn w:val="berschrift3"/>
    <w:next w:val="Standard"/>
    <w:link w:val="berschrift6Zchn"/>
    <w:unhideWhenUsed/>
    <w:pPr>
      <w:numPr>
        <w:ilvl w:val="5"/>
      </w:numPr>
      <w:outlineLvl w:val="5"/>
    </w:pPr>
    <w:rPr>
      <w:b w:val="0"/>
      <w:bCs w:val="0"/>
      <w:szCs w:val="22"/>
    </w:rPr>
  </w:style>
  <w:style w:type="paragraph" w:styleId="berschrift7">
    <w:name w:val="heading 7"/>
    <w:basedOn w:val="berschrift3"/>
    <w:next w:val="Standard"/>
    <w:link w:val="berschrift7Zchn"/>
    <w:unhideWhenUsed/>
    <w:pPr>
      <w:numPr>
        <w:ilvl w:val="6"/>
      </w:numPr>
      <w:outlineLvl w:val="6"/>
    </w:pPr>
    <w:rPr>
      <w:b w:val="0"/>
    </w:rPr>
  </w:style>
  <w:style w:type="paragraph" w:styleId="berschrift8">
    <w:name w:val="heading 8"/>
    <w:basedOn w:val="berschrift3"/>
    <w:next w:val="Standard"/>
    <w:link w:val="berschrift8Zchn"/>
    <w:unhideWhenUsed/>
    <w:pPr>
      <w:numPr>
        <w:ilvl w:val="7"/>
      </w:numPr>
      <w:tabs>
        <w:tab w:val="left" w:pos="1134"/>
      </w:tabs>
      <w:outlineLvl w:val="7"/>
    </w:pPr>
    <w:rPr>
      <w:b w:val="0"/>
      <w:iCs/>
    </w:rPr>
  </w:style>
  <w:style w:type="paragraph" w:styleId="berschrift9">
    <w:name w:val="heading 9"/>
    <w:aliases w:val="Blocktitel_in_PDF_IVZ_und_linkfaehig"/>
    <w:basedOn w:val="Blocktext"/>
    <w:next w:val="Blocktext"/>
    <w:link w:val="berschrift9Zchn"/>
    <w:pPr>
      <w:keepNext/>
      <w:keepLines/>
      <w:tabs>
        <w:tab w:val="left" w:pos="1134"/>
      </w:tabs>
      <w:spacing w:before="240" w:after="100" w:line="240" w:lineRule="atLeast"/>
      <w:ind w:left="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locktitel">
    <w:name w:val="Blocktitel"/>
    <w:basedOn w:val="Blocktext"/>
    <w:next w:val="Blocktext"/>
    <w:qFormat/>
    <w:pPr>
      <w:keepNext/>
      <w:keepLines/>
      <w:tabs>
        <w:tab w:val="left" w:pos="1134"/>
      </w:tabs>
      <w:spacing w:before="240" w:after="100" w:line="240" w:lineRule="atLeast"/>
      <w:ind w:left="0"/>
    </w:pPr>
    <w:rPr>
      <w:b/>
    </w:rPr>
  </w:style>
  <w:style w:type="paragraph" w:styleId="Blocktext">
    <w:name w:val="Block Text"/>
    <w:basedOn w:val="Standard"/>
    <w:link w:val="BlocktextZchn"/>
    <w:qFormat/>
    <w:pPr>
      <w:spacing w:before="80" w:after="80"/>
      <w:ind w:left="1134"/>
    </w:pPr>
    <w:rPr>
      <w:szCs w:val="20"/>
      <w:lang w:eastAsia="en-US"/>
    </w:rPr>
  </w:style>
  <w:style w:type="character" w:customStyle="1" w:styleId="BlocktextZchn1">
    <w:name w:val="Blocktext Zchn1"/>
    <w:basedOn w:val="Absatz-Standardschriftart"/>
    <w:rPr>
      <w:rFonts w:ascii="Arial" w:eastAsia="Arial Unicode MS" w:hAnsi="Arial"/>
      <w:lang w:eastAsia="en-US"/>
    </w:rPr>
  </w:style>
  <w:style w:type="character" w:customStyle="1" w:styleId="berschrift1Zchn">
    <w:name w:val="Überschrift 1 Zchn"/>
    <w:basedOn w:val="Absatz-Standardschriftart"/>
    <w:link w:val="berschrift1"/>
    <w:rPr>
      <w:rFonts w:ascii="Arial" w:eastAsia="Arial Unicode MS" w:hAnsi="Arial" w:cs="Arial"/>
      <w:b/>
      <w:bCs/>
      <w:kern w:val="32"/>
      <w:sz w:val="36"/>
      <w:szCs w:val="32"/>
      <w:lang w:eastAsia="ja-JP"/>
    </w:rPr>
  </w:style>
  <w:style w:type="paragraph" w:customStyle="1" w:styleId="Basis">
    <w:name w:val="Basis"/>
    <w:basedOn w:val="Standard"/>
    <w:pPr>
      <w:jc w:val="center"/>
    </w:pPr>
    <w:rPr>
      <w:b/>
      <w:color w:val="FFFFFF"/>
      <w:sz w:val="100"/>
    </w:rPr>
  </w:style>
  <w:style w:type="paragraph" w:styleId="Beschriftung">
    <w:name w:val="caption"/>
    <w:basedOn w:val="Standard"/>
    <w:next w:val="Standard"/>
    <w:pPr>
      <w:spacing w:before="120" w:after="120"/>
    </w:pPr>
    <w:rPr>
      <w:b/>
      <w:bCs/>
      <w:szCs w:val="20"/>
    </w:rPr>
  </w:style>
  <w:style w:type="character" w:styleId="BesuchterHyperlink">
    <w:name w:val="FollowedHyperlink"/>
    <w:basedOn w:val="Absatz-Standardschriftart"/>
    <w:rPr>
      <w:color w:val="0000FF"/>
      <w:u w:val="single"/>
    </w:rPr>
  </w:style>
  <w:style w:type="paragraph" w:customStyle="1" w:styleId="BildBeschriftungSeitenbreite">
    <w:name w:val="BildBeschriftung_Seitenbreite"/>
    <w:basedOn w:val="Blocktext"/>
    <w:next w:val="Blocktext"/>
    <w:pPr>
      <w:keepNext/>
      <w:spacing w:before="60" w:after="60"/>
      <w:ind w:hanging="1134"/>
    </w:pPr>
    <w:rPr>
      <w:sz w:val="18"/>
    </w:rPr>
  </w:style>
  <w:style w:type="paragraph" w:customStyle="1" w:styleId="BildBeschriftungtextBreite">
    <w:name w:val="BildBeschriftung_textBreite"/>
    <w:basedOn w:val="Blocktext"/>
    <w:next w:val="Blocktext"/>
    <w:pPr>
      <w:keepNext/>
      <w:tabs>
        <w:tab w:val="left" w:pos="2268"/>
      </w:tabs>
      <w:spacing w:before="60" w:after="60"/>
      <w:ind w:left="2268" w:hanging="1134"/>
    </w:pPr>
    <w:rPr>
      <w:sz w:val="18"/>
    </w:rPr>
  </w:style>
  <w:style w:type="paragraph" w:customStyle="1" w:styleId="BlocktitelIVZ">
    <w:name w:val="Blocktitel_IVZ"/>
    <w:basedOn w:val="Blocktitel"/>
    <w:next w:val="Blocktext"/>
  </w:style>
  <w:style w:type="paragraph" w:styleId="Dokumentstruktur">
    <w:name w:val="Document Map"/>
    <w:basedOn w:val="Standard"/>
    <w:link w:val="DokumentstrukturZchn"/>
    <w:semiHidden/>
    <w:pPr>
      <w:shd w:val="clear" w:color="auto" w:fill="000080"/>
    </w:pPr>
    <w:rPr>
      <w:rFonts w:ascii="Tahoma" w:hAnsi="Tahoma" w:cs="Tahoma"/>
      <w:szCs w:val="20"/>
    </w:rPr>
  </w:style>
  <w:style w:type="paragraph" w:customStyle="1" w:styleId="CautionWarningDanger">
    <w:name w:val="CautionWarningDanger"/>
    <w:basedOn w:val="Textkrper"/>
    <w:pPr>
      <w:keepNext/>
      <w:keepLines/>
      <w:spacing w:before="80"/>
    </w:pPr>
    <w:rPr>
      <w:b/>
      <w:szCs w:val="20"/>
    </w:rPr>
  </w:style>
  <w:style w:type="paragraph" w:customStyle="1" w:styleId="CWDGraphic">
    <w:name w:val="CWDGraphic"/>
    <w:basedOn w:val="Standard"/>
    <w:pPr>
      <w:spacing w:before="60"/>
    </w:pPr>
    <w:rPr>
      <w:szCs w:val="20"/>
    </w:rPr>
  </w:style>
  <w:style w:type="paragraph" w:customStyle="1" w:styleId="Dokument-Titel">
    <w:name w:val="Dokument-Titel"/>
    <w:pPr>
      <w:autoSpaceDE w:val="0"/>
      <w:autoSpaceDN w:val="0"/>
      <w:adjustRightInd w:val="0"/>
      <w:spacing w:line="480" w:lineRule="exact"/>
    </w:pPr>
    <w:rPr>
      <w:rFonts w:ascii="Arial" w:eastAsia="Arial Unicode MS" w:hAnsi="Arial"/>
      <w:b/>
      <w:color w:val="000000"/>
      <w:sz w:val="40"/>
      <w:szCs w:val="38"/>
    </w:rPr>
  </w:style>
  <w:style w:type="paragraph" w:customStyle="1" w:styleId="Dokument-Untertitel">
    <w:name w:val="Dokument-Untertitel"/>
    <w:pPr>
      <w:autoSpaceDE w:val="0"/>
      <w:autoSpaceDN w:val="0"/>
      <w:adjustRightInd w:val="0"/>
      <w:spacing w:line="364" w:lineRule="exact"/>
    </w:pPr>
    <w:rPr>
      <w:rFonts w:ascii="Arial Unicode MS" w:eastAsia="Arial Unicode MS" w:hAnsi="Arial Unicode MS"/>
      <w:b/>
      <w:color w:val="000000"/>
      <w:sz w:val="28"/>
      <w:szCs w:val="38"/>
    </w:rPr>
  </w:style>
  <w:style w:type="paragraph" w:styleId="Fuzeile">
    <w:name w:val="footer"/>
    <w:basedOn w:val="Standard"/>
    <w:link w:val="FuzeileZchn"/>
    <w:uiPriority w:val="99"/>
    <w:pPr>
      <w:tabs>
        <w:tab w:val="center" w:pos="4536"/>
        <w:tab w:val="right" w:pos="9072"/>
      </w:tabs>
    </w:pPr>
    <w:rPr>
      <w:sz w:val="16"/>
    </w:rPr>
  </w:style>
  <w:style w:type="paragraph" w:customStyle="1" w:styleId="FuzeileSeitenzahl">
    <w:name w:val="Fußzeile_Seitenzahl"/>
    <w:basedOn w:val="Fuzeile"/>
    <w:pPr>
      <w:tabs>
        <w:tab w:val="clear" w:pos="4536"/>
        <w:tab w:val="clear" w:pos="9072"/>
      </w:tabs>
      <w:jc w:val="right"/>
    </w:pPr>
    <w:rPr>
      <w:sz w:val="20"/>
    </w:rPr>
  </w:style>
  <w:style w:type="paragraph" w:styleId="Aufzhlungszeichen">
    <w:name w:val="List Bullet"/>
    <w:basedOn w:val="Standard"/>
    <w:autoRedefine/>
    <w:unhideWhenUsed/>
    <w:pPr>
      <w:numPr>
        <w:numId w:val="1"/>
      </w:numPr>
    </w:pPr>
  </w:style>
  <w:style w:type="paragraph" w:customStyle="1" w:styleId="Hinweis">
    <w:name w:val="Hinweis"/>
    <w:basedOn w:val="CautionWarningDanger"/>
    <w:pPr>
      <w:spacing w:before="120" w:after="160"/>
    </w:pPr>
    <w:rPr>
      <w:b w:val="0"/>
    </w:rPr>
  </w:style>
  <w:style w:type="character" w:customStyle="1" w:styleId="Hochstellen">
    <w:name w:val="Hochstellen"/>
    <w:basedOn w:val="Absatz-Standardschriftart"/>
    <w:rPr>
      <w:vertAlign w:val="superscript"/>
      <w:lang w:val="de-DE"/>
    </w:rPr>
  </w:style>
  <w:style w:type="character" w:styleId="Hyperlink">
    <w:name w:val="Hyperlink"/>
    <w:basedOn w:val="Absatz-Standardschriftart"/>
    <w:uiPriority w:val="99"/>
    <w:rPr>
      <w:rFonts w:ascii="Arial" w:hAnsi="Arial"/>
      <w:color w:val="0000FF"/>
      <w:u w:val="single"/>
    </w:rPr>
  </w:style>
  <w:style w:type="paragraph" w:styleId="Index1">
    <w:name w:val="index 1"/>
    <w:basedOn w:val="Standard"/>
    <w:next w:val="Standard"/>
    <w:semiHidden/>
    <w:pPr>
      <w:ind w:left="240" w:hanging="240"/>
    </w:pPr>
    <w:rPr>
      <w:rFonts w:ascii="Helvetica" w:hAnsi="Helvetica"/>
    </w:rPr>
  </w:style>
  <w:style w:type="paragraph" w:styleId="Index2">
    <w:name w:val="index 2"/>
    <w:basedOn w:val="Standard"/>
    <w:next w:val="Standard"/>
    <w:autoRedefine/>
    <w:semiHidden/>
    <w:pPr>
      <w:ind w:left="480" w:hanging="240"/>
    </w:pPr>
    <w:rPr>
      <w:rFonts w:ascii="Helvetica" w:hAnsi="Helvetica"/>
    </w:rPr>
  </w:style>
  <w:style w:type="paragraph" w:styleId="Index3">
    <w:name w:val="index 3"/>
    <w:basedOn w:val="Standard"/>
    <w:next w:val="Standard"/>
    <w:autoRedefine/>
    <w:semiHidden/>
    <w:pPr>
      <w:ind w:left="720" w:hanging="240"/>
    </w:pPr>
  </w:style>
  <w:style w:type="paragraph" w:styleId="Index4">
    <w:name w:val="index 4"/>
    <w:basedOn w:val="Standard"/>
    <w:next w:val="Standard"/>
    <w:autoRedefine/>
    <w:semiHidden/>
    <w:pPr>
      <w:ind w:left="960" w:hanging="240"/>
    </w:pPr>
  </w:style>
  <w:style w:type="paragraph" w:styleId="Index5">
    <w:name w:val="index 5"/>
    <w:basedOn w:val="Standard"/>
    <w:next w:val="Standard"/>
    <w:autoRedefine/>
    <w:semiHidden/>
    <w:pPr>
      <w:ind w:left="1200" w:hanging="240"/>
    </w:pPr>
  </w:style>
  <w:style w:type="paragraph" w:styleId="Index6">
    <w:name w:val="index 6"/>
    <w:basedOn w:val="Standard"/>
    <w:next w:val="Standard"/>
    <w:autoRedefine/>
    <w:semiHidden/>
    <w:pPr>
      <w:ind w:left="1440" w:hanging="240"/>
    </w:pPr>
  </w:style>
  <w:style w:type="paragraph" w:styleId="Index7">
    <w:name w:val="index 7"/>
    <w:basedOn w:val="Standard"/>
    <w:next w:val="Standard"/>
    <w:autoRedefine/>
    <w:semiHidden/>
    <w:pPr>
      <w:ind w:left="1680" w:hanging="240"/>
    </w:pPr>
  </w:style>
  <w:style w:type="paragraph" w:styleId="Index8">
    <w:name w:val="index 8"/>
    <w:basedOn w:val="Standard"/>
    <w:next w:val="Standard"/>
    <w:autoRedefine/>
    <w:semiHidden/>
    <w:pPr>
      <w:ind w:left="1920" w:hanging="240"/>
    </w:pPr>
  </w:style>
  <w:style w:type="paragraph" w:styleId="Index9">
    <w:name w:val="index 9"/>
    <w:basedOn w:val="Standard"/>
    <w:next w:val="Standard"/>
    <w:autoRedefine/>
    <w:semiHidden/>
    <w:pPr>
      <w:ind w:left="2160" w:hanging="240"/>
    </w:pPr>
  </w:style>
  <w:style w:type="paragraph" w:styleId="Indexberschrift">
    <w:name w:val="index heading"/>
    <w:basedOn w:val="Standard"/>
    <w:next w:val="Index1"/>
    <w:semiHidden/>
  </w:style>
  <w:style w:type="paragraph" w:styleId="Kopfzeile">
    <w:name w:val="header"/>
    <w:aliases w:val="Kopfzeile 1,Kopfzeile Zeile 1"/>
    <w:basedOn w:val="Standard"/>
    <w:next w:val="Standard"/>
    <w:link w:val="KopfzeileZchn"/>
    <w:autoRedefine/>
    <w:pPr>
      <w:tabs>
        <w:tab w:val="center" w:pos="4536"/>
        <w:tab w:val="right" w:pos="9072"/>
      </w:tabs>
      <w:jc w:val="right"/>
    </w:pPr>
  </w:style>
  <w:style w:type="paragraph" w:customStyle="1" w:styleId="Kopfzeile2">
    <w:name w:val="Kopfzeile 2"/>
    <w:basedOn w:val="Kopfzeile"/>
    <w:pPr>
      <w:tabs>
        <w:tab w:val="clear" w:pos="9072"/>
        <w:tab w:val="right" w:pos="8505"/>
      </w:tabs>
    </w:pPr>
    <w:rPr>
      <w:bCs/>
    </w:rPr>
  </w:style>
  <w:style w:type="paragraph" w:customStyle="1" w:styleId="KopfzeileDokutitel">
    <w:name w:val="Kopfzeile_Dokutitel"/>
    <w:basedOn w:val="Kopfzeile"/>
    <w:pPr>
      <w:tabs>
        <w:tab w:val="clear" w:pos="4536"/>
        <w:tab w:val="center" w:pos="4253"/>
      </w:tabs>
      <w:jc w:val="left"/>
    </w:pPr>
  </w:style>
  <w:style w:type="paragraph" w:customStyle="1" w:styleId="KopfzeileLogo">
    <w:name w:val="Kopfzeile_Logo"/>
    <w:basedOn w:val="Kopfzeile"/>
    <w:next w:val="Kopfzeile"/>
    <w:pPr>
      <w:spacing w:after="240"/>
      <w:jc w:val="left"/>
    </w:pPr>
  </w:style>
  <w:style w:type="paragraph" w:styleId="Titel">
    <w:name w:val="Title"/>
    <w:basedOn w:val="Standard"/>
    <w:link w:val="TitelZchn"/>
    <w:pPr>
      <w:spacing w:before="240" w:after="60"/>
      <w:jc w:val="center"/>
      <w:outlineLvl w:val="0"/>
    </w:pPr>
    <w:rPr>
      <w:rFonts w:cs="Arial"/>
      <w:b/>
      <w:bCs/>
      <w:kern w:val="28"/>
      <w:sz w:val="32"/>
      <w:szCs w:val="32"/>
    </w:rPr>
  </w:style>
  <w:style w:type="paragraph" w:customStyle="1" w:styleId="MAP">
    <w:name w:val="MAP"/>
    <w:basedOn w:val="Titel"/>
    <w:next w:val="Standard"/>
    <w:autoRedefine/>
    <w:pPr>
      <w:pageBreakBefore/>
      <w:jc w:val="left"/>
      <w:outlineLvl w:val="9"/>
    </w:pPr>
    <w:rPr>
      <w:rFonts w:cs="Times New Roman"/>
      <w:bCs w:val="0"/>
      <w:sz w:val="28"/>
      <w:szCs w:val="20"/>
    </w:rPr>
  </w:style>
  <w:style w:type="paragraph" w:customStyle="1" w:styleId="Maptext">
    <w:name w:val="Maptext"/>
    <w:basedOn w:val="Blocktext"/>
    <w:pPr>
      <w:spacing w:after="0"/>
      <w:ind w:left="0"/>
    </w:pPr>
    <w:rPr>
      <w:rFonts w:cs="Arial"/>
      <w:color w:val="0000FF"/>
      <w:sz w:val="28"/>
    </w:rPr>
  </w:style>
  <w:style w:type="paragraph" w:customStyle="1" w:styleId="Maptextschwarz">
    <w:name w:val="Maptext schwarz"/>
    <w:basedOn w:val="Maptext"/>
    <w:rPr>
      <w:color w:val="auto"/>
      <w:sz w:val="20"/>
    </w:rPr>
  </w:style>
  <w:style w:type="character" w:customStyle="1" w:styleId="Menuepunktxyz">
    <w:name w:val="Menuepunkt xyz"/>
    <w:basedOn w:val="Absatz-Standardschriftart"/>
    <w:rPr>
      <w:rFonts w:ascii="Courier" w:hAnsi="Courier"/>
      <w:lang w:val="de-DE"/>
    </w:rPr>
  </w:style>
  <w:style w:type="paragraph" w:customStyle="1" w:styleId="NummerierteListe">
    <w:name w:val="NummerierteListe"/>
    <w:basedOn w:val="Blocktext"/>
    <w:pPr>
      <w:numPr>
        <w:numId w:val="17"/>
      </w:numPr>
    </w:pPr>
  </w:style>
  <w:style w:type="paragraph" w:customStyle="1" w:styleId="Seitenrandklein">
    <w:name w:val="Seitenrand_klein"/>
    <w:basedOn w:val="Standard"/>
    <w:pPr>
      <w:suppressAutoHyphens/>
      <w:jc w:val="center"/>
    </w:pPr>
    <w:rPr>
      <w:sz w:val="12"/>
      <w:szCs w:val="20"/>
    </w:rPr>
  </w:style>
  <w:style w:type="paragraph" w:customStyle="1" w:styleId="Seitenrandgro">
    <w:name w:val="Seitenrand_groß"/>
    <w:basedOn w:val="Seitenrandklein"/>
    <w:pPr>
      <w:framePr w:w="567" w:h="3686" w:hRule="exact" w:wrap="notBeside" w:vAnchor="page" w:hAnchor="page" w:x="568" w:y="6607"/>
      <w:shd w:val="solid" w:color="FFFFFF" w:fill="FFFFFF"/>
      <w:textDirection w:val="btLr"/>
    </w:pPr>
    <w:rPr>
      <w:sz w:val="16"/>
    </w:rPr>
  </w:style>
  <w:style w:type="paragraph" w:customStyle="1" w:styleId="TabelleTextlinks">
    <w:name w:val="TabelleText_links"/>
    <w:basedOn w:val="Blocktext"/>
    <w:link w:val="TabelleTextlinksZchn"/>
    <w:pPr>
      <w:tabs>
        <w:tab w:val="left" w:pos="284"/>
        <w:tab w:val="left" w:pos="567"/>
        <w:tab w:val="left" w:pos="851"/>
        <w:tab w:val="left" w:pos="1134"/>
        <w:tab w:val="left" w:pos="1418"/>
        <w:tab w:val="left" w:pos="1701"/>
        <w:tab w:val="left" w:pos="1985"/>
        <w:tab w:val="left" w:pos="2268"/>
        <w:tab w:val="left" w:pos="2552"/>
        <w:tab w:val="left" w:pos="2835"/>
      </w:tabs>
      <w:spacing w:before="40" w:after="40"/>
      <w:ind w:left="0"/>
    </w:pPr>
    <w:rPr>
      <w:sz w:val="18"/>
    </w:rPr>
  </w:style>
  <w:style w:type="character" w:customStyle="1" w:styleId="TabelleTextlinksZchn">
    <w:name w:val="TabelleText_links Zchn"/>
    <w:basedOn w:val="BlocktextZchn"/>
    <w:link w:val="TabelleTextlinks"/>
    <w:rPr>
      <w:rFonts w:ascii="Arial" w:eastAsia="Arial Unicode MS" w:hAnsi="Arial"/>
      <w:sz w:val="18"/>
      <w:lang w:eastAsia="en-US"/>
    </w:rPr>
  </w:style>
  <w:style w:type="paragraph" w:customStyle="1" w:styleId="TabelleNummerierteListe">
    <w:name w:val="Tabelle_NummerierteListe"/>
    <w:basedOn w:val="TabelleTextlinks"/>
    <w:pPr>
      <w:numPr>
        <w:numId w:val="13"/>
      </w:numPr>
      <w:tabs>
        <w:tab w:val="clear" w:pos="284"/>
      </w:tabs>
    </w:pPr>
  </w:style>
  <w:style w:type="paragraph" w:customStyle="1" w:styleId="TabelleNummerierteZeile">
    <w:name w:val="Tabelle_NummerierteZeile"/>
    <w:basedOn w:val="TabelleNummerierteListe"/>
    <w:pPr>
      <w:numPr>
        <w:numId w:val="4"/>
      </w:numPr>
    </w:pPr>
  </w:style>
  <w:style w:type="paragraph" w:customStyle="1" w:styleId="TabelleBulletText1">
    <w:name w:val="TabelleBullet_Text1"/>
    <w:basedOn w:val="TabelleTextlinks"/>
    <w:pPr>
      <w:numPr>
        <w:numId w:val="5"/>
      </w:numPr>
      <w:tabs>
        <w:tab w:val="clear" w:pos="284"/>
      </w:tabs>
    </w:pPr>
  </w:style>
  <w:style w:type="paragraph" w:customStyle="1" w:styleId="TabelleBulletText2">
    <w:name w:val="TabelleBullet_Text2"/>
    <w:basedOn w:val="TabelleBulletText1"/>
    <w:pPr>
      <w:numPr>
        <w:numId w:val="16"/>
      </w:numPr>
      <w:tabs>
        <w:tab w:val="clear" w:pos="567"/>
        <w:tab w:val="clear" w:pos="1134"/>
        <w:tab w:val="left" w:pos="709"/>
      </w:tabs>
    </w:pPr>
  </w:style>
  <w:style w:type="paragraph" w:customStyle="1" w:styleId="TabelleKopflinks">
    <w:name w:val="TabelleKopf_links"/>
    <w:basedOn w:val="Blocktext"/>
    <w:pPr>
      <w:keepNext/>
      <w:widowControl w:val="0"/>
      <w:tabs>
        <w:tab w:val="left" w:pos="284"/>
        <w:tab w:val="left" w:pos="567"/>
        <w:tab w:val="left" w:pos="851"/>
        <w:tab w:val="left" w:pos="1134"/>
      </w:tabs>
      <w:spacing w:before="60" w:after="60"/>
      <w:ind w:left="0"/>
    </w:pPr>
    <w:rPr>
      <w:b/>
      <w:sz w:val="18"/>
    </w:rPr>
  </w:style>
  <w:style w:type="paragraph" w:customStyle="1" w:styleId="TabelleKopfzentriert">
    <w:name w:val="TabelleKopf_zentriert"/>
    <w:basedOn w:val="TabelleKopflinks"/>
    <w:pPr>
      <w:jc w:val="center"/>
    </w:pPr>
  </w:style>
  <w:style w:type="paragraph" w:customStyle="1" w:styleId="TabellenBeschriftungSeitenbreite">
    <w:name w:val="TabellenBeschriftung_Seitenbreite"/>
    <w:basedOn w:val="TabelleTextlinks"/>
    <w:pPr>
      <w:keepNext/>
      <w:spacing w:before="60" w:after="60"/>
      <w:ind w:left="1134" w:hanging="1134"/>
    </w:pPr>
  </w:style>
  <w:style w:type="paragraph" w:customStyle="1" w:styleId="TabellenBeschriftungTextBreite">
    <w:name w:val="TabellenBeschriftung_TextBreite"/>
    <w:basedOn w:val="TabelleTextlinks"/>
    <w:link w:val="TabellenBeschriftungTextBreiteZchn"/>
    <w:pPr>
      <w:keepNext/>
      <w:spacing w:before="60" w:after="60"/>
      <w:ind w:left="2268" w:hanging="1134"/>
    </w:pPr>
  </w:style>
  <w:style w:type="character" w:customStyle="1" w:styleId="TabellenBeschriftungTextBreiteZchn">
    <w:name w:val="TabellenBeschriftung_TextBreite Zchn"/>
    <w:basedOn w:val="TabelleTextlinksZchn"/>
    <w:link w:val="TabellenBeschriftungTextBreite"/>
    <w:rPr>
      <w:rFonts w:ascii="Arial" w:eastAsia="Arial Unicode MS" w:hAnsi="Arial"/>
      <w:sz w:val="18"/>
      <w:lang w:eastAsia="en-US"/>
    </w:rPr>
  </w:style>
  <w:style w:type="paragraph" w:customStyle="1" w:styleId="TabelleTextrechts">
    <w:name w:val="TabelleText_rechts"/>
    <w:basedOn w:val="TabelleTextlinks"/>
    <w:pPr>
      <w:tabs>
        <w:tab w:val="clear" w:pos="284"/>
        <w:tab w:val="clear" w:pos="567"/>
        <w:tab w:val="clear" w:pos="851"/>
        <w:tab w:val="clear" w:pos="1134"/>
        <w:tab w:val="clear" w:pos="1418"/>
        <w:tab w:val="clear" w:pos="1701"/>
        <w:tab w:val="clear" w:pos="1985"/>
        <w:tab w:val="clear" w:pos="2268"/>
        <w:tab w:val="clear" w:pos="2552"/>
        <w:tab w:val="clear" w:pos="2835"/>
      </w:tabs>
      <w:jc w:val="right"/>
    </w:pPr>
  </w:style>
  <w:style w:type="paragraph" w:customStyle="1" w:styleId="TabelleTextzentriert">
    <w:name w:val="TabelleText_zentriert"/>
    <w:basedOn w:val="TabelleTextrechts"/>
    <w:pPr>
      <w:jc w:val="center"/>
    </w:pPr>
  </w:style>
  <w:style w:type="paragraph" w:customStyle="1" w:styleId="berschriftTeil">
    <w:name w:val="Überschrift_Teil"/>
    <w:basedOn w:val="Blocktext"/>
    <w:next w:val="Standard"/>
    <w:pPr>
      <w:pageBreakBefore/>
      <w:spacing w:after="360"/>
      <w:ind w:left="0"/>
    </w:pPr>
    <w:rPr>
      <w:b/>
      <w:kern w:val="28"/>
      <w:sz w:val="36"/>
    </w:rPr>
  </w:style>
  <w:style w:type="character" w:customStyle="1" w:styleId="berschriftTeilZchn">
    <w:name w:val="Überschrift_Teil Zchn"/>
    <w:basedOn w:val="Absatz-Standardschriftart"/>
    <w:rPr>
      <w:rFonts w:ascii="Arial" w:eastAsia="MS Mincho" w:hAnsi="Arial"/>
      <w:b/>
      <w:kern w:val="28"/>
      <w:sz w:val="32"/>
      <w:lang w:val="de-DE" w:eastAsia="en-US" w:bidi="ar-SA"/>
    </w:rPr>
  </w:style>
  <w:style w:type="paragraph" w:customStyle="1" w:styleId="berschriftbersicht">
    <w:name w:val="Überschrift_Übersicht"/>
    <w:basedOn w:val="Standard"/>
    <w:link w:val="berschriftbersichtZchn"/>
    <w:pPr>
      <w:keepNext/>
      <w:keepLines/>
      <w:pageBreakBefore/>
      <w:tabs>
        <w:tab w:val="left" w:pos="1134"/>
      </w:tabs>
      <w:spacing w:before="80" w:line="240" w:lineRule="atLeast"/>
      <w:outlineLvl w:val="0"/>
    </w:pPr>
    <w:rPr>
      <w:b/>
      <w:sz w:val="36"/>
      <w:szCs w:val="20"/>
      <w:lang w:eastAsia="en-US"/>
    </w:rPr>
  </w:style>
  <w:style w:type="paragraph" w:customStyle="1" w:styleId="BulletText">
    <w:name w:val="Bullet_Text"/>
    <w:basedOn w:val="Blocktext"/>
    <w:pPr>
      <w:tabs>
        <w:tab w:val="left" w:pos="1491"/>
      </w:tabs>
      <w:ind w:left="1491" w:hanging="357"/>
    </w:pPr>
  </w:style>
  <w:style w:type="paragraph" w:styleId="Verzeichnis1">
    <w:name w:val="toc 1"/>
    <w:basedOn w:val="Standard"/>
    <w:next w:val="Standard"/>
    <w:uiPriority w:val="39"/>
    <w:pPr>
      <w:tabs>
        <w:tab w:val="left" w:leader="dot" w:pos="0"/>
        <w:tab w:val="right" w:leader="dot" w:pos="8505"/>
      </w:tabs>
      <w:spacing w:before="120" w:after="120"/>
      <w:ind w:left="1418" w:right="567" w:hanging="567"/>
    </w:pPr>
    <w:rPr>
      <w:b/>
      <w:noProof/>
      <w:szCs w:val="22"/>
    </w:rPr>
  </w:style>
  <w:style w:type="paragraph" w:styleId="Verzeichnis2">
    <w:name w:val="toc 2"/>
    <w:basedOn w:val="Standard"/>
    <w:next w:val="Standard"/>
    <w:pPr>
      <w:tabs>
        <w:tab w:val="left" w:leader="dot" w:pos="851"/>
        <w:tab w:val="right" w:leader="dot" w:pos="8505"/>
      </w:tabs>
      <w:spacing w:before="120"/>
      <w:ind w:left="2269" w:hanging="851"/>
    </w:pPr>
    <w:rPr>
      <w:noProof/>
    </w:rPr>
  </w:style>
  <w:style w:type="paragraph" w:styleId="Verzeichnis3">
    <w:name w:val="toc 3"/>
    <w:basedOn w:val="Standard"/>
    <w:next w:val="Standard"/>
    <w:uiPriority w:val="39"/>
    <w:pPr>
      <w:tabs>
        <w:tab w:val="left" w:leader="dot" w:pos="851"/>
        <w:tab w:val="right" w:leader="dot" w:pos="8505"/>
      </w:tabs>
      <w:ind w:left="2269" w:right="567" w:hanging="851"/>
    </w:pPr>
    <w:rPr>
      <w:noProof/>
    </w:rPr>
  </w:style>
  <w:style w:type="paragraph" w:styleId="Verzeichnis4">
    <w:name w:val="toc 4"/>
    <w:basedOn w:val="Standard"/>
    <w:next w:val="Standard"/>
    <w:pPr>
      <w:tabs>
        <w:tab w:val="right" w:leader="dot" w:pos="851"/>
        <w:tab w:val="right" w:leader="dot" w:pos="8505"/>
      </w:tabs>
      <w:ind w:left="3119" w:hanging="851"/>
    </w:pPr>
    <w:rPr>
      <w:noProof/>
    </w:rPr>
  </w:style>
  <w:style w:type="paragraph" w:styleId="Verzeichnis5">
    <w:name w:val="toc 5"/>
    <w:basedOn w:val="Standard"/>
    <w:next w:val="Standard"/>
    <w:pPr>
      <w:ind w:left="958"/>
    </w:pPr>
  </w:style>
  <w:style w:type="paragraph" w:styleId="Verzeichnis6">
    <w:name w:val="toc 6"/>
    <w:basedOn w:val="Standard"/>
    <w:next w:val="Standard"/>
    <w:autoRedefine/>
    <w:pPr>
      <w:ind w:left="1200"/>
    </w:pPr>
  </w:style>
  <w:style w:type="paragraph" w:styleId="Verzeichnis7">
    <w:name w:val="toc 7"/>
    <w:basedOn w:val="Standard"/>
    <w:next w:val="Standard"/>
    <w:autoRedefine/>
    <w:pPr>
      <w:ind w:left="1440"/>
    </w:pPr>
  </w:style>
  <w:style w:type="paragraph" w:styleId="Verzeichnis8">
    <w:name w:val="toc 8"/>
    <w:basedOn w:val="Standard"/>
    <w:next w:val="Standard"/>
    <w:autoRedefine/>
    <w:pPr>
      <w:ind w:left="1680"/>
    </w:pPr>
  </w:style>
  <w:style w:type="paragraph" w:styleId="Verzeichnis9">
    <w:name w:val="toc 9"/>
    <w:basedOn w:val="Standard"/>
    <w:next w:val="Standard"/>
    <w:autoRedefine/>
    <w:pPr>
      <w:ind w:left="1920"/>
    </w:pPr>
  </w:style>
  <w:style w:type="paragraph" w:styleId="Sprechblasentext">
    <w:name w:val="Balloon Text"/>
    <w:basedOn w:val="Standard"/>
    <w:link w:val="SprechblasentextZchn"/>
    <w:semiHidden/>
    <w:rPr>
      <w:rFonts w:ascii="Tahoma" w:hAnsi="Tahoma" w:cs="Tahoma"/>
      <w:sz w:val="16"/>
      <w:szCs w:val="16"/>
    </w:rPr>
  </w:style>
  <w:style w:type="paragraph" w:customStyle="1" w:styleId="Logo">
    <w:name w:val="Logo"/>
    <w:basedOn w:val="Standard"/>
    <w:pPr>
      <w:ind w:left="-602"/>
    </w:pPr>
  </w:style>
  <w:style w:type="paragraph" w:customStyle="1" w:styleId="BulletText2">
    <w:name w:val="Bullet_Text2"/>
    <w:basedOn w:val="BulletText1"/>
    <w:pPr>
      <w:numPr>
        <w:numId w:val="3"/>
      </w:numPr>
      <w:tabs>
        <w:tab w:val="clear" w:pos="1491"/>
      </w:tabs>
    </w:pPr>
  </w:style>
  <w:style w:type="character" w:styleId="Seitenzahl">
    <w:name w:val="page number"/>
    <w:basedOn w:val="Absatz-Standardschriftart"/>
  </w:style>
  <w:style w:type="table" w:styleId="Tabellenraster">
    <w:name w:val="Table Grid"/>
    <w:basedOn w:val="NormaleTabelle"/>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yword36">
    <w:name w:val="Keyword 36"/>
    <w:basedOn w:val="Standard"/>
    <w:pPr>
      <w:keepNext/>
      <w:spacing w:before="152" w:line="850" w:lineRule="exact"/>
      <w:outlineLvl w:val="0"/>
    </w:pPr>
    <w:rPr>
      <w:rFonts w:ascii="Siemens Serif Semibold" w:hAnsi="Siemens Serif Semibold"/>
      <w:color w:val="8CA3B0"/>
      <w:kern w:val="28"/>
      <w:sz w:val="72"/>
      <w:szCs w:val="72"/>
      <w:lang w:val="en-US"/>
    </w:rPr>
  </w:style>
  <w:style w:type="paragraph" w:styleId="Abbildungsverzeichnis">
    <w:name w:val="table of figures"/>
    <w:basedOn w:val="Standard"/>
    <w:next w:val="Standard"/>
  </w:style>
  <w:style w:type="paragraph" w:styleId="Anrede">
    <w:name w:val="Salutation"/>
    <w:basedOn w:val="Standard"/>
    <w:next w:val="Standard"/>
    <w:link w:val="AnredeZchn"/>
  </w:style>
  <w:style w:type="paragraph" w:styleId="Aufzhlungszeichen2">
    <w:name w:val="List Bullet 2"/>
    <w:basedOn w:val="Standard"/>
    <w:pPr>
      <w:tabs>
        <w:tab w:val="num" w:pos="643"/>
      </w:tabs>
      <w:ind w:left="643" w:hanging="360"/>
    </w:pPr>
  </w:style>
  <w:style w:type="paragraph" w:styleId="Aufzhlungszeichen3">
    <w:name w:val="List Bullet 3"/>
    <w:basedOn w:val="Standard"/>
    <w:pPr>
      <w:tabs>
        <w:tab w:val="num" w:pos="926"/>
      </w:tabs>
      <w:ind w:left="926" w:hanging="360"/>
    </w:pPr>
  </w:style>
  <w:style w:type="paragraph" w:styleId="Aufzhlungszeichen4">
    <w:name w:val="List Bullet 4"/>
    <w:basedOn w:val="Standard"/>
    <w:pPr>
      <w:tabs>
        <w:tab w:val="num" w:pos="1209"/>
      </w:tabs>
      <w:ind w:left="1209" w:hanging="360"/>
    </w:pPr>
  </w:style>
  <w:style w:type="paragraph" w:styleId="Aufzhlungszeichen5">
    <w:name w:val="List Bullet 5"/>
    <w:basedOn w:val="Standard"/>
    <w:pPr>
      <w:tabs>
        <w:tab w:val="num" w:pos="1492"/>
      </w:tabs>
      <w:ind w:left="1492" w:hanging="360"/>
    </w:pPr>
  </w:style>
  <w:style w:type="paragraph" w:styleId="Datum">
    <w:name w:val="Date"/>
    <w:basedOn w:val="Standard"/>
    <w:next w:val="Standard"/>
    <w:link w:val="DatumZchn"/>
  </w:style>
  <w:style w:type="paragraph" w:styleId="E-Mail-Signatur">
    <w:name w:val="E-mail Signature"/>
    <w:basedOn w:val="Standard"/>
    <w:link w:val="E-Mail-SignaturZchn"/>
  </w:style>
  <w:style w:type="paragraph" w:styleId="Endnotentext">
    <w:name w:val="endnote text"/>
    <w:basedOn w:val="Standard"/>
    <w:link w:val="EndnotentextZchn"/>
    <w:rPr>
      <w:szCs w:val="20"/>
    </w:rPr>
  </w:style>
  <w:style w:type="paragraph" w:styleId="Fu-Endnotenberschrift">
    <w:name w:val="Note Heading"/>
    <w:basedOn w:val="Standard"/>
    <w:next w:val="Standard"/>
    <w:link w:val="Fu-EndnotenberschriftZchn"/>
  </w:style>
  <w:style w:type="paragraph" w:styleId="Funotentext">
    <w:name w:val="footnote text"/>
    <w:basedOn w:val="Standard"/>
    <w:link w:val="FunotentextZchn"/>
    <w:rPr>
      <w:szCs w:val="20"/>
    </w:rPr>
  </w:style>
  <w:style w:type="paragraph" w:styleId="Gruformel">
    <w:name w:val="Closing"/>
    <w:basedOn w:val="Standard"/>
    <w:link w:val="GruformelZchn"/>
    <w:pPr>
      <w:ind w:left="4252"/>
    </w:pPr>
  </w:style>
  <w:style w:type="paragraph" w:styleId="HTMLAdresse">
    <w:name w:val="HTML Address"/>
    <w:basedOn w:val="Standard"/>
    <w:link w:val="HTMLAdresseZchn"/>
    <w:rPr>
      <w:i/>
      <w:iCs/>
    </w:rPr>
  </w:style>
  <w:style w:type="paragraph" w:styleId="HTMLVorformatiert">
    <w:name w:val="HTML Preformatted"/>
    <w:basedOn w:val="Standard"/>
    <w:link w:val="HTMLVorformatiertZchn"/>
    <w:rPr>
      <w:rFonts w:ascii="Courier New" w:hAnsi="Courier New" w:cs="Courier New"/>
      <w:szCs w:val="20"/>
    </w:rPr>
  </w:style>
  <w:style w:type="paragraph" w:styleId="Kommentartext">
    <w:name w:val="annotation text"/>
    <w:basedOn w:val="Standard"/>
    <w:link w:val="KommentartextZchn"/>
    <w:rPr>
      <w:szCs w:val="20"/>
    </w:rPr>
  </w:style>
  <w:style w:type="paragraph" w:styleId="Kommentarthema">
    <w:name w:val="annotation subject"/>
    <w:basedOn w:val="Kommentartext"/>
    <w:next w:val="Kommentartext"/>
    <w:link w:val="KommentarthemaZchn"/>
    <w:rPr>
      <w:b/>
      <w:bCs/>
    </w:r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2">
    <w:name w:val="List Continue 2"/>
    <w:basedOn w:val="Standard"/>
    <w:pPr>
      <w:spacing w:after="120"/>
      <w:ind w:left="566"/>
    </w:pPr>
  </w:style>
  <w:style w:type="paragraph" w:styleId="Listenfortsetzung3">
    <w:name w:val="List Continue 3"/>
    <w:basedOn w:val="Standard"/>
    <w:pPr>
      <w:spacing w:after="120"/>
      <w:ind w:left="849"/>
    </w:pPr>
  </w:style>
  <w:style w:type="paragraph" w:styleId="Listenfortsetzung4">
    <w:name w:val="List Continue 4"/>
    <w:basedOn w:val="Standard"/>
    <w:pPr>
      <w:spacing w:after="120"/>
      <w:ind w:left="1132"/>
    </w:pPr>
  </w:style>
  <w:style w:type="paragraph" w:styleId="Listenfortsetzung5">
    <w:name w:val="List Continue 5"/>
    <w:basedOn w:val="Standard"/>
    <w:pPr>
      <w:spacing w:after="120"/>
      <w:ind w:left="1415"/>
    </w:pPr>
  </w:style>
  <w:style w:type="paragraph" w:styleId="Listennummer">
    <w:name w:val="List Number"/>
    <w:basedOn w:val="Standard"/>
    <w:pPr>
      <w:numPr>
        <w:numId w:val="6"/>
      </w:numPr>
    </w:pPr>
  </w:style>
  <w:style w:type="paragraph" w:styleId="Listennummer2">
    <w:name w:val="List Number 2"/>
    <w:basedOn w:val="Standard"/>
    <w:pPr>
      <w:numPr>
        <w:numId w:val="7"/>
      </w:numPr>
    </w:pPr>
  </w:style>
  <w:style w:type="paragraph" w:styleId="Listennummer3">
    <w:name w:val="List Number 3"/>
    <w:basedOn w:val="Standard"/>
    <w:pPr>
      <w:numPr>
        <w:numId w:val="8"/>
      </w:numPr>
    </w:pPr>
  </w:style>
  <w:style w:type="paragraph" w:styleId="Listennummer4">
    <w:name w:val="List Number 4"/>
    <w:basedOn w:val="Standard"/>
    <w:pPr>
      <w:numPr>
        <w:numId w:val="9"/>
      </w:numPr>
    </w:pPr>
  </w:style>
  <w:style w:type="paragraph" w:styleId="Listennummer5">
    <w:name w:val="List Number 5"/>
    <w:basedOn w:val="Standard"/>
    <w:pPr>
      <w:numPr>
        <w:numId w:val="10"/>
      </w:numPr>
    </w:pPr>
  </w:style>
  <w:style w:type="paragraph" w:styleId="Makrotext">
    <w:name w:val="macro"/>
    <w:link w:val="MakrotextZchn"/>
    <w:pPr>
      <w:tabs>
        <w:tab w:val="left" w:pos="480"/>
        <w:tab w:val="left" w:pos="960"/>
        <w:tab w:val="left" w:pos="1440"/>
        <w:tab w:val="left" w:pos="1920"/>
        <w:tab w:val="left" w:pos="2400"/>
        <w:tab w:val="left" w:pos="2880"/>
        <w:tab w:val="left" w:pos="3360"/>
        <w:tab w:val="left" w:pos="3840"/>
        <w:tab w:val="left" w:pos="4320"/>
      </w:tabs>
    </w:pPr>
    <w:rPr>
      <w:rFonts w:ascii="Courier New" w:eastAsia="MS Mincho" w:hAnsi="Courier New" w:cs="Courier New"/>
      <w:lang w:eastAsia="ja-JP"/>
    </w:rPr>
  </w:style>
  <w:style w:type="paragraph" w:styleId="Nachrichtenkopf">
    <w:name w:val="Message Header"/>
    <w:basedOn w:val="Standard"/>
    <w:link w:val="NachrichtenkopfZchn"/>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Rechtsgrundlagenverzeichnis">
    <w:name w:val="table of authorities"/>
    <w:basedOn w:val="Standard"/>
    <w:next w:val="Standard"/>
    <w:pPr>
      <w:ind w:left="240" w:hanging="240"/>
    </w:pPr>
  </w:style>
  <w:style w:type="paragraph" w:styleId="RGV-berschrift">
    <w:name w:val="toa heading"/>
    <w:basedOn w:val="Standard"/>
    <w:next w:val="Standard"/>
    <w:pPr>
      <w:spacing w:before="120"/>
    </w:pPr>
    <w:rPr>
      <w:rFonts w:cs="Arial"/>
      <w:b/>
      <w:bCs/>
    </w:rPr>
  </w:style>
  <w:style w:type="paragraph" w:styleId="StandardWeb">
    <w:name w:val="Normal (Web)"/>
    <w:basedOn w:val="Standard"/>
    <w:uiPriority w:val="99"/>
  </w:style>
  <w:style w:type="paragraph" w:styleId="Standardeinzug">
    <w:name w:val="Normal Indent"/>
    <w:basedOn w:val="Standard"/>
    <w:pPr>
      <w:ind w:left="720"/>
    </w:pPr>
  </w:style>
  <w:style w:type="paragraph" w:styleId="Umschlagabsenderadresse">
    <w:name w:val="envelope return"/>
    <w:basedOn w:val="Standard"/>
    <w:rPr>
      <w:rFonts w:cs="Arial"/>
      <w:szCs w:val="20"/>
    </w:rPr>
  </w:style>
  <w:style w:type="paragraph" w:styleId="Umschlagadresse">
    <w:name w:val="envelope address"/>
    <w:basedOn w:val="Standard"/>
    <w:pPr>
      <w:framePr w:w="4320" w:h="2160" w:hRule="exact" w:hSpace="141" w:wrap="auto" w:hAnchor="page" w:xAlign="center" w:yAlign="bottom"/>
      <w:ind w:left="1"/>
    </w:pPr>
    <w:rPr>
      <w:rFonts w:cs="Arial"/>
    </w:rPr>
  </w:style>
  <w:style w:type="paragraph" w:styleId="Unterschrift">
    <w:name w:val="Signature"/>
    <w:basedOn w:val="Standard"/>
    <w:link w:val="UnterschriftZchn"/>
    <w:pPr>
      <w:ind w:left="4252"/>
    </w:pPr>
  </w:style>
  <w:style w:type="paragraph" w:styleId="Untertitel">
    <w:name w:val="Subtitle"/>
    <w:basedOn w:val="Standard"/>
    <w:link w:val="UntertitelZchn"/>
    <w:pPr>
      <w:spacing w:after="60"/>
      <w:jc w:val="center"/>
      <w:outlineLvl w:val="1"/>
    </w:pPr>
    <w:rPr>
      <w:rFonts w:cs="Arial"/>
    </w:rPr>
  </w:style>
  <w:style w:type="paragraph" w:customStyle="1" w:styleId="berschriftDeckblatt">
    <w:name w:val="Überschrift_Deckblatt"/>
    <w:basedOn w:val="Blocktext"/>
    <w:next w:val="Blocktext"/>
    <w:pPr>
      <w:framePr w:hSpace="180" w:wrap="around" w:hAnchor="page" w:x="3357" w:y="-446"/>
      <w:jc w:val="right"/>
    </w:pPr>
    <w:rPr>
      <w:color w:val="D0D3DA"/>
      <w:lang w:eastAsia="de-DE"/>
    </w:rPr>
  </w:style>
  <w:style w:type="paragraph" w:customStyle="1" w:styleId="berschriftInhaltsverzeichnis">
    <w:name w:val="Überschrift_Inhaltsverzeichnis"/>
    <w:basedOn w:val="berschrift1"/>
    <w:next w:val="Blocktext"/>
    <w:link w:val="berschriftInhaltsverzeichnisZchn"/>
    <w:pPr>
      <w:numPr>
        <w:numId w:val="0"/>
      </w:numPr>
      <w:outlineLvl w:val="9"/>
    </w:pPr>
  </w:style>
  <w:style w:type="character" w:customStyle="1" w:styleId="berschriftInhaltsverzeichnisZchn">
    <w:name w:val="Überschrift_Inhaltsverzeichnis Zchn"/>
    <w:basedOn w:val="berschrift1Zchn"/>
    <w:link w:val="berschriftInhaltsverzeichnis"/>
    <w:rPr>
      <w:rFonts w:ascii="Arial" w:eastAsia="Arial Unicode MS" w:hAnsi="Arial" w:cs="Arial"/>
      <w:b/>
      <w:bCs/>
      <w:kern w:val="32"/>
      <w:sz w:val="36"/>
      <w:szCs w:val="32"/>
      <w:lang w:eastAsia="ja-JP"/>
    </w:rPr>
  </w:style>
  <w:style w:type="character" w:styleId="Zeilennummer">
    <w:name w:val="line number"/>
    <w:basedOn w:val="Absatz-Standardschriftart"/>
  </w:style>
  <w:style w:type="paragraph" w:customStyle="1" w:styleId="berschrift1Nummerierung">
    <w:name w:val="Überschrift 1 Nummerierung"/>
    <w:basedOn w:val="Standard"/>
    <w:next w:val="Standard"/>
    <w:link w:val="berschrift1NummerierungZchn"/>
    <w:pPr>
      <w:keepNext/>
      <w:keepLines/>
      <w:spacing w:before="80" w:line="960" w:lineRule="exact"/>
      <w:jc w:val="right"/>
    </w:pPr>
    <w:rPr>
      <w:rFonts w:cs="Arial Unicode MS"/>
      <w:b/>
      <w:sz w:val="96"/>
      <w:lang w:val="en-US" w:eastAsia="de-DE"/>
    </w:rPr>
  </w:style>
  <w:style w:type="character" w:customStyle="1" w:styleId="berschrift1NummerierungZchn">
    <w:name w:val="Überschrift 1 Nummerierung Zchn"/>
    <w:basedOn w:val="Absatz-Standardschriftart"/>
    <w:link w:val="berschrift1Nummerierung"/>
    <w:rPr>
      <w:rFonts w:ascii="Arial" w:eastAsia="Arial Unicode MS" w:hAnsi="Arial" w:cs="Arial Unicode MS"/>
      <w:b/>
      <w:sz w:val="96"/>
      <w:szCs w:val="24"/>
      <w:lang w:val="en-US"/>
    </w:rPr>
  </w:style>
  <w:style w:type="paragraph" w:customStyle="1" w:styleId="h1heading1">
    <w:name w:val="h1_heading_1"/>
    <w:basedOn w:val="Standard"/>
    <w:pPr>
      <w:keepNext/>
      <w:keepLines/>
      <w:pageBreakBefore/>
      <w:numPr>
        <w:numId w:val="12"/>
      </w:numPr>
      <w:spacing w:before="80" w:line="240" w:lineRule="atLeast"/>
      <w:outlineLvl w:val="0"/>
    </w:pPr>
    <w:rPr>
      <w:rFonts w:ascii="Arial Unicode MS" w:hAnsi="Arial Unicode MS" w:cs="Arial Unicode MS"/>
      <w:b/>
      <w:sz w:val="36"/>
      <w:lang w:eastAsia="de-DE"/>
    </w:rPr>
  </w:style>
  <w:style w:type="paragraph" w:customStyle="1" w:styleId="h2heading2">
    <w:name w:val="h2_heading_2"/>
    <w:basedOn w:val="h1heading1"/>
    <w:next w:val="Standard"/>
    <w:pPr>
      <w:pageBreakBefore w:val="0"/>
      <w:numPr>
        <w:ilvl w:val="1"/>
      </w:numPr>
      <w:spacing w:before="720" w:after="120" w:line="192" w:lineRule="auto"/>
      <w:outlineLvl w:val="1"/>
    </w:pPr>
    <w:rPr>
      <w:sz w:val="28"/>
    </w:rPr>
  </w:style>
  <w:style w:type="paragraph" w:customStyle="1" w:styleId="h3heading3">
    <w:name w:val="h3_heading_3"/>
    <w:basedOn w:val="h2heading2"/>
    <w:next w:val="Standard"/>
    <w:pPr>
      <w:numPr>
        <w:ilvl w:val="2"/>
      </w:numPr>
      <w:spacing w:line="180" w:lineRule="auto"/>
      <w:outlineLvl w:val="2"/>
    </w:pPr>
    <w:rPr>
      <w:sz w:val="24"/>
    </w:rPr>
  </w:style>
  <w:style w:type="paragraph" w:customStyle="1" w:styleId="h4heading4">
    <w:name w:val="h4_heading_4"/>
    <w:basedOn w:val="h3heading3"/>
    <w:next w:val="Standard"/>
    <w:pPr>
      <w:numPr>
        <w:ilvl w:val="3"/>
      </w:numPr>
      <w:spacing w:before="480"/>
      <w:outlineLvl w:val="3"/>
    </w:pPr>
    <w:rPr>
      <w:sz w:val="22"/>
    </w:rPr>
  </w:style>
  <w:style w:type="paragraph" w:customStyle="1" w:styleId="hnheadingnumber">
    <w:name w:val="hn_heading_number"/>
    <w:basedOn w:val="Standard"/>
    <w:pPr>
      <w:keepNext/>
      <w:keepLines/>
      <w:spacing w:before="80" w:line="960" w:lineRule="exact"/>
      <w:jc w:val="right"/>
    </w:pPr>
    <w:rPr>
      <w:rFonts w:ascii="Arial Unicode MS" w:hAnsi="Arial Unicode MS" w:cs="Arial Unicode MS"/>
      <w:b/>
      <w:sz w:val="96"/>
      <w:lang w:eastAsia="de-DE"/>
    </w:rPr>
  </w:style>
  <w:style w:type="paragraph" w:customStyle="1" w:styleId="berschrift1Tabelle">
    <w:name w:val="Überschrift 1_Tabelle"/>
    <w:basedOn w:val="berschrift1"/>
    <w:pPr>
      <w:numPr>
        <w:numId w:val="0"/>
      </w:numPr>
    </w:pPr>
  </w:style>
  <w:style w:type="paragraph" w:customStyle="1" w:styleId="ApplIVZTabelleTitel">
    <w:name w:val="Appl_IVZTabelle_Titel"/>
    <w:basedOn w:val="Standard"/>
    <w:pPr>
      <w:spacing w:line="280" w:lineRule="exact"/>
    </w:pPr>
    <w:rPr>
      <w:rFonts w:cs="Arial Unicode MS"/>
      <w:b/>
      <w:sz w:val="24"/>
      <w:lang w:eastAsia="de-DE"/>
    </w:rPr>
  </w:style>
  <w:style w:type="paragraph" w:customStyle="1" w:styleId="ApplIVZTabelleNummer">
    <w:name w:val="Appl_IVZTabelle_Nummer"/>
    <w:pPr>
      <w:shd w:val="clear" w:color="auto" w:fill="D9D9D9"/>
      <w:spacing w:line="567" w:lineRule="exact"/>
      <w:ind w:left="-567" w:right="-567"/>
      <w:jc w:val="center"/>
    </w:pPr>
    <w:rPr>
      <w:rFonts w:ascii="Arial" w:eastAsia="Arial Unicode MS" w:hAnsi="Arial" w:cs="Arial Unicode MS"/>
      <w:b/>
      <w:sz w:val="40"/>
      <w:szCs w:val="24"/>
    </w:rPr>
  </w:style>
  <w:style w:type="character" w:styleId="Kommentarzeichen">
    <w:name w:val="annotation reference"/>
    <w:basedOn w:val="Absatz-Standardschriftart"/>
    <w:rPr>
      <w:sz w:val="16"/>
      <w:szCs w:val="16"/>
    </w:rPr>
  </w:style>
  <w:style w:type="character" w:styleId="Fett">
    <w:name w:val="Strong"/>
    <w:basedOn w:val="Absatz-Standardschriftart"/>
    <w:rPr>
      <w:b/>
      <w:bCs/>
    </w:rPr>
  </w:style>
  <w:style w:type="character" w:customStyle="1" w:styleId="BlocktitelZchn">
    <w:name w:val="Blocktitel Zchn"/>
    <w:basedOn w:val="BlocktextZchn"/>
    <w:rPr>
      <w:rFonts w:ascii="Arial" w:eastAsia="MS Mincho" w:hAnsi="Arial"/>
      <w:b/>
      <w:lang w:val="de-DE" w:eastAsia="en-US" w:bidi="ar-SA"/>
    </w:rPr>
  </w:style>
  <w:style w:type="paragraph" w:styleId="Textkrper">
    <w:name w:val="Body Text"/>
    <w:basedOn w:val="Standard"/>
    <w:link w:val="TextkrperZchn"/>
    <w:pPr>
      <w:spacing w:after="120"/>
    </w:pPr>
  </w:style>
  <w:style w:type="character" w:customStyle="1" w:styleId="TextkrperZchn">
    <w:name w:val="Textkörper Zchn"/>
    <w:basedOn w:val="Absatz-Standardschriftart"/>
    <w:link w:val="Textkrper"/>
    <w:rPr>
      <w:rFonts w:ascii="Arial" w:eastAsia="Arial Unicode MS" w:hAnsi="Arial"/>
      <w:szCs w:val="24"/>
      <w:lang w:eastAsia="ja-JP"/>
    </w:rPr>
  </w:style>
  <w:style w:type="paragraph" w:customStyle="1" w:styleId="Formatvorlage1">
    <w:name w:val="Formatvorlage1"/>
    <w:basedOn w:val="Standard"/>
  </w:style>
  <w:style w:type="paragraph" w:customStyle="1" w:styleId="p">
    <w:name w:val="p"/>
    <w:link w:val="pZchn"/>
    <w:pPr>
      <w:spacing w:before="80" w:after="80" w:line="156" w:lineRule="auto"/>
    </w:pPr>
    <w:rPr>
      <w:rFonts w:ascii="Arial Unicode MS" w:eastAsia="Arial Unicode MS" w:hAnsi="Arial Unicode MS" w:cs="Arial Unicode MS"/>
      <w:szCs w:val="24"/>
    </w:rPr>
  </w:style>
  <w:style w:type="character" w:customStyle="1" w:styleId="pZchn">
    <w:name w:val="p Zchn"/>
    <w:basedOn w:val="Absatz-Standardschriftart"/>
    <w:link w:val="p"/>
    <w:locked/>
    <w:rPr>
      <w:rFonts w:ascii="Arial Unicode MS" w:eastAsia="Arial Unicode MS" w:hAnsi="Arial Unicode MS" w:cs="Arial Unicode MS"/>
      <w:szCs w:val="24"/>
    </w:rPr>
  </w:style>
  <w:style w:type="paragraph" w:customStyle="1" w:styleId="ol1">
    <w:name w:val="ol_1"/>
    <w:basedOn w:val="p"/>
    <w:pPr>
      <w:tabs>
        <w:tab w:val="num" w:pos="990"/>
        <w:tab w:val="num" w:pos="1209"/>
      </w:tabs>
      <w:ind w:left="990" w:hanging="360"/>
    </w:pPr>
  </w:style>
  <w:style w:type="paragraph" w:customStyle="1" w:styleId="ppg1chTitle">
    <w:name w:val="p_pg1_chTitle"/>
    <w:basedOn w:val="p"/>
    <w:next w:val="p"/>
    <w:pPr>
      <w:tabs>
        <w:tab w:val="num" w:pos="1044"/>
      </w:tabs>
      <w:spacing w:before="0" w:after="0" w:line="280" w:lineRule="exact"/>
      <w:ind w:left="1041" w:hanging="357"/>
    </w:pPr>
    <w:rPr>
      <w:b/>
      <w:sz w:val="24"/>
    </w:rPr>
  </w:style>
  <w:style w:type="paragraph" w:customStyle="1" w:styleId="ppg1chNumber">
    <w:name w:val="p_pg1_chNumber"/>
    <w:basedOn w:val="p"/>
    <w:pPr>
      <w:shd w:val="clear" w:color="auto" w:fill="D9D9D9"/>
      <w:tabs>
        <w:tab w:val="num" w:pos="1044"/>
      </w:tabs>
      <w:spacing w:before="0" w:after="0" w:line="567" w:lineRule="exact"/>
      <w:ind w:left="-567" w:right="-567" w:hanging="357"/>
      <w:jc w:val="center"/>
    </w:pPr>
    <w:rPr>
      <w:b/>
      <w:sz w:val="40"/>
    </w:rPr>
  </w:style>
  <w:style w:type="character" w:customStyle="1" w:styleId="KommentartextZchn">
    <w:name w:val="Kommentartext Zchn"/>
    <w:basedOn w:val="Absatz-Standardschriftart"/>
    <w:link w:val="Kommentartext"/>
    <w:rPr>
      <w:rFonts w:ascii="Arial" w:eastAsia="Arial Unicode MS" w:hAnsi="Arial"/>
      <w:lang w:eastAsia="ja-JP"/>
    </w:rPr>
  </w:style>
  <w:style w:type="character" w:customStyle="1" w:styleId="KommentarthemaZchn">
    <w:name w:val="Kommentarthema Zchn"/>
    <w:basedOn w:val="KommentartextZchn"/>
    <w:link w:val="Kommentarthema"/>
    <w:rPr>
      <w:rFonts w:ascii="Arial" w:eastAsia="Arial Unicode MS" w:hAnsi="Arial"/>
      <w:b/>
      <w:bCs/>
      <w:lang w:eastAsia="ja-JP"/>
    </w:rPr>
  </w:style>
  <w:style w:type="character" w:customStyle="1" w:styleId="FunotentextZchn">
    <w:name w:val="Fußnotentext Zchn"/>
    <w:basedOn w:val="Absatz-Standardschriftart"/>
    <w:link w:val="Funotentext"/>
    <w:rPr>
      <w:rFonts w:ascii="Arial" w:eastAsia="Arial Unicode MS" w:hAnsi="Arial"/>
      <w:lang w:eastAsia="ja-JP"/>
    </w:rPr>
  </w:style>
  <w:style w:type="character" w:styleId="Funotenzeichen">
    <w:name w:val="footnote reference"/>
    <w:basedOn w:val="Absatz-Standardschriftart"/>
    <w:rPr>
      <w:vertAlign w:val="superscript"/>
    </w:rPr>
  </w:style>
  <w:style w:type="character" w:customStyle="1" w:styleId="DeckblattTitel">
    <w:name w:val="Deckblatt Titel"/>
    <w:rPr>
      <w:rFonts w:ascii="Siemens Serif Semibold" w:hAnsi="Siemens Serif Semibold"/>
      <w:sz w:val="44"/>
    </w:rPr>
  </w:style>
  <w:style w:type="character" w:customStyle="1" w:styleId="DeckblattDokutyp">
    <w:name w:val="Deckblatt Dokutyp"/>
    <w:basedOn w:val="Absatz-Standardschriftart"/>
    <w:rPr>
      <w:rFonts w:ascii="Siemens Sans" w:hAnsi="Siemens Sans"/>
      <w:b/>
      <w:bCs/>
      <w:color w:val="003399"/>
      <w:sz w:val="30"/>
    </w:rPr>
  </w:style>
  <w:style w:type="paragraph" w:customStyle="1" w:styleId="DeckblattProduktnameAnwendung">
    <w:name w:val="Deckblatt Produktname/Anwendung"/>
    <w:basedOn w:val="Standard"/>
    <w:pPr>
      <w:spacing w:after="300"/>
    </w:pPr>
    <w:rPr>
      <w:rFonts w:ascii="Siemens Sans" w:eastAsia="Times New Roman" w:hAnsi="Siemens Sans"/>
      <w:b/>
      <w:bCs/>
      <w:sz w:val="30"/>
      <w:szCs w:val="20"/>
    </w:rPr>
  </w:style>
  <w:style w:type="paragraph" w:customStyle="1" w:styleId="HinweisTitel">
    <w:name w:val="Hinweis Titel"/>
    <w:next w:val="Blocktext"/>
    <w:pPr>
      <w:spacing w:before="120" w:after="120"/>
      <w:jc w:val="center"/>
    </w:pPr>
    <w:rPr>
      <w:rFonts w:ascii="Arial" w:hAnsi="Arial"/>
      <w:b/>
      <w:bCs/>
      <w:lang w:eastAsia="ja-JP"/>
    </w:rPr>
  </w:style>
  <w:style w:type="paragraph" w:customStyle="1" w:styleId="Subhead115pt">
    <w:name w:val="_Subhead 1 15pt"/>
    <w:basedOn w:val="Standard"/>
    <w:pPr>
      <w:spacing w:after="425" w:line="369" w:lineRule="exact"/>
      <w:ind w:right="680"/>
    </w:pPr>
    <w:rPr>
      <w:rFonts w:ascii="Siemens Sans" w:eastAsia="Times New Roman" w:hAnsi="Siemens Sans"/>
      <w:b/>
      <w:color w:val="FFFFFF"/>
      <w:spacing w:val="2"/>
      <w:kern w:val="10"/>
      <w:sz w:val="30"/>
      <w:szCs w:val="30"/>
      <w:lang w:eastAsia="de-DE"/>
    </w:rPr>
  </w:style>
  <w:style w:type="paragraph" w:customStyle="1" w:styleId="URLKeyword">
    <w:name w:val="_URL_Keyword"/>
    <w:basedOn w:val="Standard"/>
    <w:pPr>
      <w:spacing w:line="260" w:lineRule="atLeast"/>
      <w:ind w:right="680"/>
    </w:pPr>
    <w:rPr>
      <w:rFonts w:ascii="Siemens Sans" w:eastAsia="Times New Roman" w:hAnsi="Siemens Sans"/>
      <w:b/>
      <w:color w:val="FFFFFF"/>
      <w:spacing w:val="1"/>
      <w:kern w:val="8"/>
      <w:sz w:val="26"/>
      <w:szCs w:val="36"/>
      <w:lang w:eastAsia="de-DE"/>
    </w:rPr>
  </w:style>
  <w:style w:type="paragraph" w:customStyle="1" w:styleId="Headline136pt">
    <w:name w:val="_Headline 1 36pt"/>
    <w:basedOn w:val="Blocktext"/>
    <w:pPr>
      <w:spacing w:before="196" w:after="160" w:line="851" w:lineRule="exact"/>
      <w:ind w:left="0" w:right="680"/>
    </w:pPr>
    <w:rPr>
      <w:rFonts w:ascii="Siemens Serif Semibold" w:eastAsia="Times New Roman" w:hAnsi="Siemens Serif Semibold"/>
      <w:b/>
      <w:color w:val="FFFFFF" w:themeColor="background1"/>
      <w:spacing w:val="-2"/>
      <w:kern w:val="10"/>
      <w:sz w:val="72"/>
      <w:szCs w:val="72"/>
      <w:lang w:eastAsia="de-DE"/>
    </w:rPr>
  </w:style>
  <w:style w:type="paragraph" w:customStyle="1" w:styleId="URLSectorClaim">
    <w:name w:val="_URL_Sector_Claim"/>
    <w:basedOn w:val="Standard"/>
    <w:pPr>
      <w:framePr w:w="9752" w:h="510" w:hRule="exact" w:wrap="around" w:vAnchor="page" w:hAnchor="text" w:y="15849" w:anchorLock="1"/>
      <w:spacing w:line="312" w:lineRule="atLeast"/>
      <w:jc w:val="right"/>
    </w:pPr>
    <w:rPr>
      <w:rFonts w:ascii="Siemens Sans" w:eastAsia="Times New Roman" w:hAnsi="Siemens Sans"/>
      <w:b/>
      <w:spacing w:val="1"/>
      <w:kern w:val="8"/>
      <w:sz w:val="26"/>
      <w:szCs w:val="36"/>
      <w:lang w:eastAsia="de-DE"/>
    </w:rPr>
  </w:style>
  <w:style w:type="character" w:customStyle="1" w:styleId="FuzeileZchn">
    <w:name w:val="Fußzeile Zchn"/>
    <w:basedOn w:val="Absatz-Standardschriftart"/>
    <w:link w:val="Fuzeile"/>
    <w:uiPriority w:val="99"/>
    <w:rPr>
      <w:rFonts w:ascii="Arial" w:eastAsia="Arial Unicode MS" w:hAnsi="Arial"/>
      <w:sz w:val="16"/>
      <w:szCs w:val="24"/>
      <w:lang w:eastAsia="ja-JP"/>
    </w:rPr>
  </w:style>
  <w:style w:type="character" w:styleId="Hervorhebung">
    <w:name w:val="Emphasis"/>
    <w:basedOn w:val="Absatz-Standardschriftart"/>
    <w:rPr>
      <w:i/>
      <w:iCs/>
    </w:rPr>
  </w:style>
  <w:style w:type="paragraph" w:customStyle="1" w:styleId="NummerierteListe2">
    <w:name w:val="NummerierteListe2"/>
    <w:basedOn w:val="NummerierteListe"/>
    <w:pPr>
      <w:numPr>
        <w:numId w:val="14"/>
      </w:numPr>
    </w:pPr>
  </w:style>
  <w:style w:type="paragraph" w:customStyle="1" w:styleId="TabelleNummerierteListe2">
    <w:name w:val="Tabelle_NummerierteListe2"/>
    <w:basedOn w:val="TabelleNummerierteListe"/>
    <w:pPr>
      <w:numPr>
        <w:numId w:val="15"/>
      </w:numPr>
    </w:pPr>
  </w:style>
  <w:style w:type="character" w:customStyle="1" w:styleId="BlocktextZchn">
    <w:name w:val="Blocktext Zchn"/>
    <w:basedOn w:val="Absatz-Standardschriftart"/>
    <w:link w:val="Blocktext"/>
    <w:rPr>
      <w:rFonts w:ascii="Arial" w:eastAsia="Arial Unicode MS" w:hAnsi="Arial"/>
      <w:lang w:eastAsia="en-US"/>
    </w:rPr>
  </w:style>
  <w:style w:type="paragraph" w:customStyle="1" w:styleId="Code">
    <w:name w:val="Code"/>
    <w:basedOn w:val="Blocktext"/>
    <w:link w:val="CodeZchn"/>
    <w:pPr>
      <w:shd w:val="clear" w:color="auto" w:fill="D9D9D9"/>
    </w:pPr>
    <w:rPr>
      <w:rFonts w:ascii="Courier New" w:hAnsi="Courier New"/>
      <w:sz w:val="18"/>
    </w:rPr>
  </w:style>
  <w:style w:type="character" w:customStyle="1" w:styleId="CodeZchn">
    <w:name w:val="Code Zchn"/>
    <w:basedOn w:val="Absatz-Standardschriftart"/>
    <w:link w:val="Code"/>
    <w:rPr>
      <w:rFonts w:ascii="Courier New" w:eastAsia="Arial Unicode MS" w:hAnsi="Courier New"/>
      <w:sz w:val="18"/>
      <w:shd w:val="clear" w:color="auto" w:fill="D9D9D9"/>
      <w:lang w:eastAsia="en-US"/>
    </w:rPr>
  </w:style>
  <w:style w:type="paragraph" w:customStyle="1" w:styleId="TabellenBeschriftungListenbreite1">
    <w:name w:val="TabellenBeschriftung_Listenbreite1"/>
    <w:basedOn w:val="TabellenBeschriftungTextBreite"/>
    <w:uiPriority w:val="3"/>
    <w:pPr>
      <w:ind w:left="1491" w:firstLine="0"/>
    </w:pPr>
  </w:style>
  <w:style w:type="paragraph" w:customStyle="1" w:styleId="TabellenBeschriftungListenbreite2">
    <w:name w:val="TabellenBeschriftung_Listenbreite2"/>
    <w:basedOn w:val="TabellenBeschriftungTextBreite"/>
    <w:uiPriority w:val="3"/>
    <w:pPr>
      <w:ind w:left="1848" w:firstLine="0"/>
    </w:pPr>
  </w:style>
  <w:style w:type="paragraph" w:customStyle="1" w:styleId="BildBeschriftungListenbreite1">
    <w:name w:val="BildBeschriftung_Listenbreite1"/>
    <w:basedOn w:val="BildBeschriftungtextBreite"/>
    <w:uiPriority w:val="2"/>
    <w:pPr>
      <w:ind w:left="1491" w:firstLine="0"/>
    </w:pPr>
  </w:style>
  <w:style w:type="paragraph" w:customStyle="1" w:styleId="BildBeschriftungListenbreite2">
    <w:name w:val="BildBeschriftung_Listenbreite2"/>
    <w:basedOn w:val="BildBeschriftungtextBreite"/>
    <w:uiPriority w:val="2"/>
    <w:pPr>
      <w:ind w:left="1848" w:firstLine="0"/>
    </w:pPr>
  </w:style>
  <w:style w:type="paragraph" w:customStyle="1" w:styleId="TabelleAutoNummerierung">
    <w:name w:val="Tabelle_AutoNummerierung"/>
    <w:basedOn w:val="TabelleTextlinks"/>
    <w:uiPriority w:val="99"/>
    <w:pPr>
      <w:numPr>
        <w:numId w:val="18"/>
      </w:numPr>
      <w:tabs>
        <w:tab w:val="clear" w:pos="567"/>
      </w:tabs>
    </w:pPr>
  </w:style>
  <w:style w:type="table" w:customStyle="1" w:styleId="Tabellenraster1">
    <w:name w:val="Tabellenraster1"/>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redeZchn">
    <w:name w:val="Anrede Zchn"/>
    <w:basedOn w:val="Absatz-Standardschriftart"/>
    <w:link w:val="Anrede"/>
    <w:rPr>
      <w:rFonts w:ascii="Arial" w:eastAsia="Arial Unicode MS" w:hAnsi="Arial"/>
      <w:szCs w:val="24"/>
      <w:lang w:eastAsia="ja-JP"/>
    </w:rPr>
  </w:style>
  <w:style w:type="character" w:customStyle="1" w:styleId="DatumZchn">
    <w:name w:val="Datum Zchn"/>
    <w:basedOn w:val="Absatz-Standardschriftart"/>
    <w:link w:val="Datum"/>
    <w:rPr>
      <w:rFonts w:ascii="Arial" w:eastAsia="Arial Unicode MS" w:hAnsi="Arial"/>
      <w:szCs w:val="24"/>
      <w:lang w:eastAsia="ja-JP"/>
    </w:rPr>
  </w:style>
  <w:style w:type="character" w:customStyle="1" w:styleId="E-Mail-SignaturZchn">
    <w:name w:val="E-Mail-Signatur Zchn"/>
    <w:basedOn w:val="Absatz-Standardschriftart"/>
    <w:link w:val="E-Mail-Signatur"/>
    <w:rPr>
      <w:rFonts w:ascii="Arial" w:eastAsia="Arial Unicode MS" w:hAnsi="Arial"/>
      <w:szCs w:val="24"/>
      <w:lang w:eastAsia="ja-JP"/>
    </w:rPr>
  </w:style>
  <w:style w:type="character" w:customStyle="1" w:styleId="EndnotentextZchn">
    <w:name w:val="Endnotentext Zchn"/>
    <w:basedOn w:val="Absatz-Standardschriftart"/>
    <w:link w:val="Endnotentext"/>
    <w:rPr>
      <w:rFonts w:ascii="Arial" w:eastAsia="Arial Unicode MS" w:hAnsi="Arial"/>
      <w:lang w:eastAsia="ja-JP"/>
    </w:rPr>
  </w:style>
  <w:style w:type="character" w:customStyle="1" w:styleId="Fu-EndnotenberschriftZchn">
    <w:name w:val="Fuß/-Endnotenüberschrift Zchn"/>
    <w:basedOn w:val="Absatz-Standardschriftart"/>
    <w:link w:val="Fu-Endnotenberschrift"/>
    <w:rPr>
      <w:rFonts w:ascii="Arial" w:eastAsia="Arial Unicode MS" w:hAnsi="Arial"/>
      <w:szCs w:val="24"/>
      <w:lang w:eastAsia="ja-JP"/>
    </w:rPr>
  </w:style>
  <w:style w:type="character" w:customStyle="1" w:styleId="GruformelZchn">
    <w:name w:val="Grußformel Zchn"/>
    <w:basedOn w:val="Absatz-Standardschriftart"/>
    <w:link w:val="Gruformel"/>
    <w:rPr>
      <w:rFonts w:ascii="Arial" w:eastAsia="Arial Unicode MS" w:hAnsi="Arial"/>
      <w:szCs w:val="24"/>
      <w:lang w:eastAsia="ja-JP"/>
    </w:rPr>
  </w:style>
  <w:style w:type="character" w:customStyle="1" w:styleId="HTMLAdresseZchn">
    <w:name w:val="HTML Adresse Zchn"/>
    <w:basedOn w:val="Absatz-Standardschriftart"/>
    <w:link w:val="HTMLAdresse"/>
    <w:rPr>
      <w:rFonts w:ascii="Arial" w:eastAsia="Arial Unicode MS" w:hAnsi="Arial"/>
      <w:i/>
      <w:iCs/>
      <w:szCs w:val="24"/>
      <w:lang w:eastAsia="ja-JP"/>
    </w:rPr>
  </w:style>
  <w:style w:type="character" w:customStyle="1" w:styleId="HTMLVorformatiertZchn">
    <w:name w:val="HTML Vorformatiert Zchn"/>
    <w:basedOn w:val="Absatz-Standardschriftart"/>
    <w:link w:val="HTMLVorformatiert"/>
    <w:rPr>
      <w:rFonts w:ascii="Courier New" w:eastAsia="Arial Unicode MS" w:hAnsi="Courier New" w:cs="Courier New"/>
      <w:lang w:eastAsia="ja-JP"/>
    </w:rPr>
  </w:style>
  <w:style w:type="character" w:customStyle="1" w:styleId="MakrotextZchn">
    <w:name w:val="Makrotext Zchn"/>
    <w:basedOn w:val="Absatz-Standardschriftart"/>
    <w:link w:val="Makrotext"/>
    <w:rPr>
      <w:rFonts w:ascii="Courier New" w:eastAsia="MS Mincho" w:hAnsi="Courier New" w:cs="Courier New"/>
      <w:lang w:eastAsia="ja-JP"/>
    </w:rPr>
  </w:style>
  <w:style w:type="character" w:customStyle="1" w:styleId="NachrichtenkopfZchn">
    <w:name w:val="Nachrichtenkopf Zchn"/>
    <w:basedOn w:val="Absatz-Standardschriftart"/>
    <w:link w:val="Nachrichtenkopf"/>
    <w:rPr>
      <w:rFonts w:ascii="Arial" w:eastAsia="Arial Unicode MS" w:hAnsi="Arial" w:cs="Arial"/>
      <w:szCs w:val="24"/>
      <w:shd w:val="pct20" w:color="auto" w:fill="auto"/>
      <w:lang w:eastAsia="ja-JP"/>
    </w:rPr>
  </w:style>
  <w:style w:type="character" w:customStyle="1" w:styleId="UnterschriftZchn">
    <w:name w:val="Unterschrift Zchn"/>
    <w:basedOn w:val="Absatz-Standardschriftart"/>
    <w:link w:val="Unterschrift"/>
    <w:rPr>
      <w:rFonts w:ascii="Arial" w:eastAsia="Arial Unicode MS" w:hAnsi="Arial"/>
      <w:szCs w:val="24"/>
      <w:lang w:eastAsia="ja-JP"/>
    </w:rPr>
  </w:style>
  <w:style w:type="character" w:customStyle="1" w:styleId="UntertitelZchn">
    <w:name w:val="Untertitel Zchn"/>
    <w:basedOn w:val="Absatz-Standardschriftart"/>
    <w:link w:val="Untertitel"/>
    <w:rPr>
      <w:rFonts w:ascii="Arial" w:eastAsia="Arial Unicode MS" w:hAnsi="Arial" w:cs="Arial"/>
      <w:szCs w:val="24"/>
      <w:lang w:eastAsia="ja-JP"/>
    </w:rPr>
  </w:style>
  <w:style w:type="table" w:customStyle="1" w:styleId="Tabellenraster2">
    <w:name w:val="Tabellenraster2"/>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pPr>
      <w:ind w:left="720"/>
      <w:contextualSpacing/>
    </w:pPr>
    <w:rPr>
      <w:rFonts w:ascii="Times New Roman" w:eastAsiaTheme="minorEastAsia" w:hAnsi="Times New Roman"/>
      <w:sz w:val="24"/>
      <w:lang w:eastAsia="de-DE"/>
    </w:rPr>
  </w:style>
  <w:style w:type="character" w:customStyle="1" w:styleId="BlocktextZchn2">
    <w:name w:val="Blocktext Zchn2"/>
    <w:aliases w:val=" Char Zchn1"/>
    <w:rPr>
      <w:rFonts w:ascii="Arial" w:eastAsia="Arial Unicode MS" w:hAnsi="Arial"/>
      <w:lang w:eastAsia="en-US"/>
    </w:rPr>
  </w:style>
  <w:style w:type="character" w:customStyle="1" w:styleId="csppcontentattrvalue">
    <w:name w:val="csppcontentattrvalue"/>
  </w:style>
  <w:style w:type="table" w:customStyle="1" w:styleId="Tabellenraster4">
    <w:name w:val="Tabellenraster4"/>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titelALT">
    <w:name w:val="BlocktitelALT"/>
    <w:basedOn w:val="Blocktext"/>
    <w:next w:val="Blocktext"/>
    <w:uiPriority w:val="99"/>
    <w:semiHidden/>
    <w:pPr>
      <w:keepNext/>
      <w:keepLines/>
      <w:tabs>
        <w:tab w:val="left" w:pos="1134"/>
      </w:tabs>
      <w:spacing w:before="240" w:after="100" w:line="240" w:lineRule="atLeast"/>
      <w:ind w:left="0"/>
    </w:pPr>
    <w:rPr>
      <w:b/>
    </w:rPr>
  </w:style>
  <w:style w:type="paragraph" w:customStyle="1" w:styleId="BulletText1">
    <w:name w:val="Bullet_Text1"/>
    <w:basedOn w:val="Blocktext"/>
    <w:pPr>
      <w:numPr>
        <w:numId w:val="2"/>
      </w:numPr>
      <w:tabs>
        <w:tab w:val="left" w:pos="1491"/>
      </w:tabs>
      <w:ind w:left="1491"/>
    </w:pPr>
  </w:style>
  <w:style w:type="paragraph" w:customStyle="1" w:styleId="Headline130pt">
    <w:name w:val="_Headline 1 30pt"/>
    <w:basedOn w:val="Blocktext"/>
    <w:pPr>
      <w:spacing w:before="196" w:after="160" w:line="737" w:lineRule="exact"/>
      <w:ind w:left="0" w:right="680"/>
    </w:pPr>
    <w:rPr>
      <w:rFonts w:ascii="Siemens Serif Semibold" w:eastAsia="Times New Roman" w:hAnsi="Siemens Serif Semibold"/>
      <w:b/>
      <w:color w:val="FFFFFF" w:themeColor="background1"/>
      <w:spacing w:val="-1"/>
      <w:kern w:val="10"/>
      <w:sz w:val="60"/>
      <w:szCs w:val="60"/>
      <w:lang w:eastAsia="de-DE"/>
    </w:rPr>
  </w:style>
  <w:style w:type="paragraph" w:customStyle="1" w:styleId="Headline144pt">
    <w:name w:val="_Headline 1 44pt"/>
    <w:basedOn w:val="Standard"/>
    <w:pPr>
      <w:spacing w:before="196" w:after="160" w:line="1021" w:lineRule="exact"/>
      <w:ind w:right="680"/>
    </w:pPr>
    <w:rPr>
      <w:rFonts w:ascii="Siemens Serif Semibold" w:eastAsia="Times New Roman" w:hAnsi="Siemens Serif Semibold"/>
      <w:b/>
      <w:color w:val="FFFFFF"/>
      <w:spacing w:val="-3"/>
      <w:kern w:val="10"/>
      <w:sz w:val="88"/>
      <w:szCs w:val="88"/>
      <w:lang w:eastAsia="de-DE"/>
    </w:rPr>
  </w:style>
  <w:style w:type="paragraph" w:customStyle="1" w:styleId="Subhead113pt">
    <w:name w:val="_Subhead 1 13pt"/>
    <w:basedOn w:val="Standard"/>
    <w:pPr>
      <w:spacing w:after="425" w:line="312" w:lineRule="exact"/>
      <w:ind w:right="680"/>
    </w:pPr>
    <w:rPr>
      <w:rFonts w:ascii="Siemens Sans" w:eastAsia="Times New Roman" w:hAnsi="Siemens Sans"/>
      <w:b/>
      <w:color w:val="FFFFFF"/>
      <w:spacing w:val="2"/>
      <w:kern w:val="10"/>
      <w:sz w:val="26"/>
      <w:szCs w:val="30"/>
      <w:lang w:eastAsia="de-DE"/>
    </w:rPr>
  </w:style>
  <w:style w:type="paragraph" w:customStyle="1" w:styleId="Subhead118pt">
    <w:name w:val="_Subhead 1 18pt"/>
    <w:basedOn w:val="Standard"/>
    <w:pPr>
      <w:spacing w:after="425" w:line="425" w:lineRule="exact"/>
      <w:ind w:right="680"/>
    </w:pPr>
    <w:rPr>
      <w:rFonts w:ascii="Siemens Sans" w:eastAsia="Times New Roman" w:hAnsi="Siemens Sans"/>
      <w:b/>
      <w:color w:val="FFFFFF"/>
      <w:spacing w:val="1"/>
      <w:kern w:val="10"/>
      <w:sz w:val="36"/>
      <w:szCs w:val="36"/>
      <w:lang w:eastAsia="de-DE"/>
    </w:rPr>
  </w:style>
  <w:style w:type="character" w:customStyle="1" w:styleId="DokumentstrukturZchn">
    <w:name w:val="Dokumentstruktur Zchn"/>
    <w:basedOn w:val="Absatz-Standardschriftart"/>
    <w:link w:val="Dokumentstruktur"/>
    <w:semiHidden/>
    <w:rPr>
      <w:rFonts w:ascii="Tahoma" w:eastAsia="Arial Unicode MS" w:hAnsi="Tahoma" w:cs="Tahoma"/>
      <w:shd w:val="clear" w:color="auto" w:fill="000080"/>
      <w:lang w:eastAsia="ja-JP"/>
    </w:rPr>
  </w:style>
  <w:style w:type="character" w:customStyle="1" w:styleId="KopfzeileZchn">
    <w:name w:val="Kopfzeile Zchn"/>
    <w:aliases w:val="Kopfzeile 1 Zchn,Kopfzeile Zeile 1 Zchn"/>
    <w:basedOn w:val="Absatz-Standardschriftart"/>
    <w:link w:val="Kopfzeile"/>
    <w:rPr>
      <w:rFonts w:ascii="Arial" w:eastAsia="Arial Unicode MS" w:hAnsi="Arial"/>
      <w:szCs w:val="24"/>
      <w:lang w:eastAsia="ja-JP"/>
    </w:rPr>
  </w:style>
  <w:style w:type="character" w:customStyle="1" w:styleId="TitelZchn">
    <w:name w:val="Titel Zchn"/>
    <w:basedOn w:val="Absatz-Standardschriftart"/>
    <w:link w:val="Titel"/>
    <w:rPr>
      <w:rFonts w:ascii="Arial" w:eastAsia="Arial Unicode MS" w:hAnsi="Arial" w:cs="Arial"/>
      <w:b/>
      <w:bCs/>
      <w:kern w:val="28"/>
      <w:sz w:val="32"/>
      <w:szCs w:val="32"/>
      <w:lang w:eastAsia="ja-JP"/>
    </w:rPr>
  </w:style>
  <w:style w:type="character" w:customStyle="1" w:styleId="SprechblasentextZchn">
    <w:name w:val="Sprechblasentext Zchn"/>
    <w:basedOn w:val="Absatz-Standardschriftart"/>
    <w:link w:val="Sprechblasentext"/>
    <w:semiHidden/>
    <w:rPr>
      <w:rFonts w:ascii="Tahoma" w:eastAsia="Arial Unicode MS" w:hAnsi="Tahoma" w:cs="Tahoma"/>
      <w:sz w:val="16"/>
      <w:szCs w:val="16"/>
      <w:lang w:eastAsia="ja-JP"/>
    </w:rPr>
  </w:style>
  <w:style w:type="character" w:customStyle="1" w:styleId="berschrift2Zchn">
    <w:name w:val="Überschrift 2 Zchn"/>
    <w:basedOn w:val="Absatz-Standardschriftart"/>
    <w:link w:val="berschrift2"/>
    <w:rPr>
      <w:rFonts w:ascii="Arial" w:eastAsia="Arial Unicode MS" w:hAnsi="Arial" w:cs="Arial"/>
      <w:b/>
      <w:bCs/>
      <w:iCs/>
      <w:sz w:val="28"/>
      <w:szCs w:val="28"/>
      <w:lang w:eastAsia="ja-JP"/>
    </w:rPr>
  </w:style>
  <w:style w:type="character" w:customStyle="1" w:styleId="berschrift3Zchn">
    <w:name w:val="Überschrift 3 Zchn"/>
    <w:basedOn w:val="Absatz-Standardschriftart"/>
    <w:link w:val="berschrift3"/>
    <w:rPr>
      <w:rFonts w:ascii="Arial" w:eastAsia="Arial Unicode MS" w:hAnsi="Arial" w:cs="Arial"/>
      <w:b/>
      <w:bCs/>
      <w:sz w:val="22"/>
      <w:szCs w:val="26"/>
      <w:lang w:eastAsia="ja-JP"/>
    </w:rPr>
  </w:style>
  <w:style w:type="character" w:customStyle="1" w:styleId="berschrift4Zchn">
    <w:name w:val="Überschrift 4 Zchn"/>
    <w:basedOn w:val="Absatz-Standardschriftart"/>
    <w:link w:val="berschrift4"/>
    <w:rPr>
      <w:rFonts w:ascii="Arial" w:eastAsia="Arial Unicode MS" w:hAnsi="Arial" w:cs="Arial"/>
      <w:sz w:val="22"/>
      <w:szCs w:val="28"/>
      <w:lang w:eastAsia="ja-JP"/>
    </w:rPr>
  </w:style>
  <w:style w:type="character" w:customStyle="1" w:styleId="berschrift5Zchn">
    <w:name w:val="Überschrift 5 Zchn"/>
    <w:basedOn w:val="Absatz-Standardschriftart"/>
    <w:link w:val="berschrift5"/>
    <w:rPr>
      <w:rFonts w:ascii="Arial" w:eastAsia="Arial Unicode MS" w:hAnsi="Arial" w:cs="Arial"/>
      <w:iCs/>
      <w:sz w:val="22"/>
      <w:szCs w:val="26"/>
      <w:lang w:eastAsia="ja-JP"/>
    </w:rPr>
  </w:style>
  <w:style w:type="character" w:customStyle="1" w:styleId="berschrift6Zchn">
    <w:name w:val="Überschrift 6 Zchn"/>
    <w:basedOn w:val="Absatz-Standardschriftart"/>
    <w:link w:val="berschrift6"/>
    <w:rPr>
      <w:rFonts w:ascii="Arial" w:eastAsia="Arial Unicode MS" w:hAnsi="Arial" w:cs="Arial"/>
      <w:sz w:val="22"/>
      <w:szCs w:val="22"/>
      <w:lang w:eastAsia="ja-JP"/>
    </w:rPr>
  </w:style>
  <w:style w:type="character" w:customStyle="1" w:styleId="berschrift7Zchn">
    <w:name w:val="Überschrift 7 Zchn"/>
    <w:basedOn w:val="Absatz-Standardschriftart"/>
    <w:link w:val="berschrift7"/>
    <w:rPr>
      <w:rFonts w:ascii="Arial" w:eastAsia="Arial Unicode MS" w:hAnsi="Arial" w:cs="Arial"/>
      <w:bCs/>
      <w:sz w:val="22"/>
      <w:szCs w:val="26"/>
      <w:lang w:eastAsia="ja-JP"/>
    </w:rPr>
  </w:style>
  <w:style w:type="character" w:customStyle="1" w:styleId="berschrift8Zchn">
    <w:name w:val="Überschrift 8 Zchn"/>
    <w:basedOn w:val="Absatz-Standardschriftart"/>
    <w:link w:val="berschrift8"/>
    <w:rPr>
      <w:rFonts w:ascii="Arial" w:eastAsia="Arial Unicode MS" w:hAnsi="Arial" w:cs="Arial"/>
      <w:bCs/>
      <w:iCs/>
      <w:sz w:val="22"/>
      <w:szCs w:val="26"/>
      <w:lang w:eastAsia="ja-JP"/>
    </w:rPr>
  </w:style>
  <w:style w:type="character" w:customStyle="1" w:styleId="berschrift9Zchn">
    <w:name w:val="Überschrift 9 Zchn"/>
    <w:aliases w:val="Blocktitel_in_PDF_IVZ_und_linkfaehig Zchn"/>
    <w:basedOn w:val="Absatz-Standardschriftart"/>
    <w:link w:val="berschrift9"/>
    <w:rPr>
      <w:rFonts w:ascii="Arial" w:eastAsia="Arial Unicode MS" w:hAnsi="Arial"/>
      <w:b/>
      <w:szCs w:val="22"/>
      <w:lang w:eastAsia="en-US"/>
    </w:rPr>
  </w:style>
  <w:style w:type="paragraph" w:customStyle="1" w:styleId="HeadlineV526pt">
    <w:name w:val="_Headline V5 26pt"/>
    <w:basedOn w:val="Blocktext"/>
    <w:next w:val="Blocktext"/>
    <w:pPr>
      <w:spacing w:before="196"/>
      <w:ind w:left="0"/>
      <w:contextualSpacing/>
    </w:pPr>
    <w:rPr>
      <w:rFonts w:ascii="Siemens Sans Black" w:eastAsia="Times New Roman" w:hAnsi="Siemens Sans Black"/>
      <w:color w:val="FFFFFF" w:themeColor="background1"/>
      <w:spacing w:val="-1"/>
      <w:kern w:val="10"/>
      <w:sz w:val="52"/>
      <w:szCs w:val="60"/>
      <w:lang w:val="en-US" w:eastAsia="de-DE"/>
    </w:rPr>
  </w:style>
  <w:style w:type="paragraph" w:customStyle="1" w:styleId="SubheadV512pt">
    <w:name w:val="_Subhead V5 12pt"/>
    <w:basedOn w:val="Standard"/>
    <w:pPr>
      <w:spacing w:before="100" w:beforeAutospacing="1" w:after="100" w:afterAutospacing="1"/>
      <w:contextualSpacing/>
    </w:pPr>
    <w:rPr>
      <w:rFonts w:ascii="Siemens Sans" w:eastAsia="Times New Roman" w:hAnsi="Siemens Sans"/>
      <w:color w:val="FFFFFF"/>
      <w:spacing w:val="2"/>
      <w:kern w:val="10"/>
      <w:sz w:val="24"/>
      <w:szCs w:val="30"/>
      <w:lang w:eastAsia="de-DE"/>
    </w:rPr>
  </w:style>
  <w:style w:type="paragraph" w:customStyle="1" w:styleId="URLKeyword9pt">
    <w:name w:val="_URL_Keyword 9pt"/>
    <w:pPr>
      <w:jc w:val="right"/>
    </w:pPr>
    <w:rPr>
      <w:rFonts w:ascii="Siemens Sans" w:eastAsiaTheme="minorHAnsi" w:hAnsi="Siemens Sans" w:cstheme="minorBidi"/>
      <w:b/>
      <w:color w:val="000000" w:themeColor="text1"/>
      <w:spacing w:val="2"/>
      <w:kern w:val="8"/>
      <w:sz w:val="18"/>
      <w:szCs w:val="18"/>
      <w:lang w:val="en-US" w:eastAsia="en-US"/>
    </w:rPr>
  </w:style>
  <w:style w:type="paragraph" w:customStyle="1" w:styleId="EyeCatcher">
    <w:name w:val="EyeCatcher"/>
    <w:basedOn w:val="Standard"/>
    <w:uiPriority w:val="71"/>
    <w:rPr>
      <w:rFonts w:ascii="Siemens Sans Black" w:hAnsi="Siemens Sans Black"/>
      <w:color w:val="FFFFFF" w:themeColor="background1"/>
      <w:sz w:val="18"/>
      <w:szCs w:val="15"/>
      <w:lang w:val="en-US"/>
    </w:rPr>
  </w:style>
  <w:style w:type="table" w:customStyle="1" w:styleId="Tabellenraster6">
    <w:name w:val="Tabellenraster6"/>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6">
    <w:name w:val="Tabellenraster16"/>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8">
    <w:name w:val="Tabellenraster18"/>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9">
    <w:name w:val="Tabellenraster19"/>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0">
    <w:name w:val="Tabellenraster20"/>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elltext">
    <w:name w:val="Quelltext"/>
    <w:basedOn w:val="Blocktext"/>
    <w:rPr>
      <w:rFonts w:ascii="Courier New" w:hAnsi="Courier New"/>
      <w:sz w:val="22"/>
    </w:rPr>
  </w:style>
  <w:style w:type="paragraph" w:styleId="berarbeitung">
    <w:name w:val="Revision"/>
    <w:hidden/>
    <w:uiPriority w:val="99"/>
    <w:semiHidden/>
    <w:rPr>
      <w:rFonts w:ascii="Arial" w:eastAsia="Arial Unicode MS" w:hAnsi="Arial"/>
      <w:szCs w:val="24"/>
      <w:lang w:eastAsia="ja-JP"/>
    </w:rPr>
  </w:style>
  <w:style w:type="character" w:styleId="Platzhaltertext">
    <w:name w:val="Placeholder Text"/>
    <w:uiPriority w:val="99"/>
    <w:semiHidden/>
    <w:rPr>
      <w:color w:val="808080"/>
    </w:rPr>
  </w:style>
  <w:style w:type="character" w:customStyle="1" w:styleId="sc41">
    <w:name w:val="sc41"/>
    <w:rPr>
      <w:rFonts w:ascii="Courier New" w:hAnsi="Courier New" w:cs="Courier New" w:hint="default"/>
      <w:b/>
      <w:bCs/>
      <w:color w:val="0000FF"/>
      <w:sz w:val="20"/>
      <w:szCs w:val="20"/>
    </w:rPr>
  </w:style>
  <w:style w:type="character" w:customStyle="1" w:styleId="sc24">
    <w:name w:val="sc24"/>
    <w:rPr>
      <w:rFonts w:ascii="Courier New" w:hAnsi="Courier New" w:cs="Courier New" w:hint="default"/>
      <w:color w:val="000000"/>
      <w:sz w:val="20"/>
      <w:szCs w:val="20"/>
    </w:rPr>
  </w:style>
  <w:style w:type="character" w:customStyle="1" w:styleId="sc21">
    <w:name w:val="sc21"/>
    <w:rPr>
      <w:rFonts w:ascii="Courier New" w:hAnsi="Courier New" w:cs="Courier New" w:hint="default"/>
      <w:color w:val="008040"/>
      <w:sz w:val="20"/>
      <w:szCs w:val="20"/>
    </w:rPr>
  </w:style>
  <w:style w:type="character" w:customStyle="1" w:styleId="sc0">
    <w:name w:val="sc0"/>
    <w:rPr>
      <w:rFonts w:ascii="Courier New" w:hAnsi="Courier New" w:cs="Courier New" w:hint="default"/>
      <w:color w:val="000000"/>
      <w:sz w:val="20"/>
      <w:szCs w:val="20"/>
    </w:rPr>
  </w:style>
  <w:style w:type="paragraph" w:customStyle="1" w:styleId="Default">
    <w:name w:val="Default"/>
    <w:pPr>
      <w:autoSpaceDE w:val="0"/>
      <w:autoSpaceDN w:val="0"/>
      <w:adjustRightInd w:val="0"/>
    </w:pPr>
    <w:rPr>
      <w:rFonts w:ascii="Arial" w:hAnsi="Arial" w:cs="Arial"/>
      <w:color w:val="000000"/>
      <w:sz w:val="24"/>
      <w:szCs w:val="24"/>
      <w:lang w:val="en-US"/>
    </w:rPr>
  </w:style>
  <w:style w:type="paragraph" w:customStyle="1" w:styleId="BlocktitelLegal">
    <w:name w:val="Blocktitel Legal"/>
    <w:basedOn w:val="Blocktitel"/>
    <w:pPr>
      <w:spacing w:before="60" w:after="0" w:line="240" w:lineRule="auto"/>
    </w:pPr>
    <w:rPr>
      <w:rFonts w:eastAsia="Times New Roman"/>
      <w:bCs/>
      <w:sz w:val="18"/>
    </w:rPr>
  </w:style>
  <w:style w:type="paragraph" w:customStyle="1" w:styleId="BlocktextLegal">
    <w:name w:val="Blocktext Legal"/>
    <w:basedOn w:val="Blocktext"/>
    <w:pPr>
      <w:spacing w:before="0" w:after="60"/>
    </w:pPr>
    <w:rPr>
      <w:sz w:val="17"/>
    </w:rPr>
  </w:style>
  <w:style w:type="paragraph" w:customStyle="1" w:styleId="berschrift3Abstandhalter">
    <w:name w:val="Überschrift 3 Abstandhalter"/>
    <w:basedOn w:val="Blocktext"/>
    <w:uiPriority w:val="2"/>
    <w:pPr>
      <w:keepLines/>
    </w:pPr>
    <w:rPr>
      <w:lang w:val="en-US" w:eastAsia="ja-JP"/>
    </w:rPr>
  </w:style>
  <w:style w:type="character" w:customStyle="1" w:styleId="berschriftbersichtZchn">
    <w:name w:val="Überschrift_Übersicht Zchn"/>
    <w:link w:val="berschriftbersicht"/>
    <w:rPr>
      <w:rFonts w:ascii="Arial" w:eastAsia="Arial Unicode MS" w:hAnsi="Arial"/>
      <w:b/>
      <w:sz w:val="3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uiPriority="2"/>
    <w:lsdException w:name="heading 1" w:qFormat="1"/>
    <w:lsdException w:name="heading 2" w:qFormat="1"/>
    <w:lsdException w:name="heading 3" w:qFormat="1"/>
    <w:lsdException w:name="heading 4" w:qFormat="1"/>
    <w:lsdException w:name="heading 9" w:qFormat="1"/>
    <w:lsdException w:name="toc 1" w:uiPriority="39"/>
    <w:lsdException w:name="toc 3" w:uiPriority="39"/>
    <w:lsdException w:name="footer" w:uiPriority="99"/>
    <w:lsdException w:name="Default Paragraph Font" w:uiPriority="1"/>
    <w:lsdException w:name="Block Text" w:qFormat="1"/>
    <w:lsdException w:name="Hyperlink" w:uiPriority="99"/>
    <w:lsdException w:name="Strong"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rd">
    <w:name w:val="Normal"/>
    <w:uiPriority w:val="2"/>
    <w:rPr>
      <w:rFonts w:ascii="Arial" w:eastAsia="Arial Unicode MS" w:hAnsi="Arial"/>
      <w:szCs w:val="24"/>
      <w:lang w:eastAsia="ja-JP"/>
    </w:rPr>
  </w:style>
  <w:style w:type="paragraph" w:styleId="berschrift1">
    <w:name w:val="heading 1"/>
    <w:basedOn w:val="Standard"/>
    <w:next w:val="berschrift2"/>
    <w:link w:val="berschrift1Zchn"/>
    <w:qFormat/>
    <w:pPr>
      <w:keepNext/>
      <w:keepLines/>
      <w:pageBreakBefore/>
      <w:numPr>
        <w:numId w:val="11"/>
      </w:numPr>
      <w:spacing w:before="80"/>
      <w:outlineLvl w:val="0"/>
    </w:pPr>
    <w:rPr>
      <w:rFonts w:cs="Arial"/>
      <w:b/>
      <w:bCs/>
      <w:kern w:val="32"/>
      <w:sz w:val="36"/>
      <w:szCs w:val="32"/>
    </w:rPr>
  </w:style>
  <w:style w:type="paragraph" w:styleId="berschrift2">
    <w:name w:val="heading 2"/>
    <w:basedOn w:val="Standard"/>
    <w:next w:val="Blocktext"/>
    <w:link w:val="berschrift2Zchn"/>
    <w:qFormat/>
    <w:pPr>
      <w:keepNext/>
      <w:keepLines/>
      <w:numPr>
        <w:ilvl w:val="1"/>
        <w:numId w:val="11"/>
      </w:numPr>
      <w:spacing w:before="240" w:after="240"/>
      <w:outlineLvl w:val="1"/>
    </w:pPr>
    <w:rPr>
      <w:rFonts w:cs="Arial"/>
      <w:b/>
      <w:bCs/>
      <w:iCs/>
      <w:sz w:val="28"/>
      <w:szCs w:val="28"/>
    </w:rPr>
  </w:style>
  <w:style w:type="paragraph" w:styleId="berschrift3">
    <w:name w:val="heading 3"/>
    <w:basedOn w:val="Standard"/>
    <w:next w:val="Blocktext"/>
    <w:link w:val="berschrift3Zchn"/>
    <w:qFormat/>
    <w:pPr>
      <w:keepNext/>
      <w:keepLines/>
      <w:numPr>
        <w:ilvl w:val="2"/>
        <w:numId w:val="11"/>
      </w:numPr>
      <w:spacing w:after="240"/>
      <w:ind w:left="1134"/>
      <w:outlineLvl w:val="2"/>
    </w:pPr>
    <w:rPr>
      <w:rFonts w:cs="Arial"/>
      <w:b/>
      <w:bCs/>
      <w:sz w:val="22"/>
      <w:szCs w:val="26"/>
    </w:rPr>
  </w:style>
  <w:style w:type="paragraph" w:styleId="berschrift4">
    <w:name w:val="heading 4"/>
    <w:basedOn w:val="berschrift3"/>
    <w:next w:val="Blocktext"/>
    <w:link w:val="berschrift4Zchn"/>
    <w:pPr>
      <w:numPr>
        <w:ilvl w:val="3"/>
      </w:numPr>
      <w:ind w:left="1134"/>
      <w:outlineLvl w:val="3"/>
    </w:pPr>
    <w:rPr>
      <w:b w:val="0"/>
      <w:bCs w:val="0"/>
      <w:szCs w:val="28"/>
    </w:rPr>
  </w:style>
  <w:style w:type="paragraph" w:styleId="berschrift5">
    <w:name w:val="heading 5"/>
    <w:basedOn w:val="berschrift3"/>
    <w:next w:val="Standard"/>
    <w:link w:val="berschrift5Zchn"/>
    <w:unhideWhenUsed/>
    <w:pPr>
      <w:numPr>
        <w:ilvl w:val="4"/>
      </w:numPr>
      <w:ind w:left="1134"/>
      <w:outlineLvl w:val="4"/>
    </w:pPr>
    <w:rPr>
      <w:b w:val="0"/>
      <w:bCs w:val="0"/>
      <w:iCs/>
    </w:rPr>
  </w:style>
  <w:style w:type="paragraph" w:styleId="berschrift6">
    <w:name w:val="heading 6"/>
    <w:basedOn w:val="berschrift3"/>
    <w:next w:val="Standard"/>
    <w:link w:val="berschrift6Zchn"/>
    <w:unhideWhenUsed/>
    <w:pPr>
      <w:numPr>
        <w:ilvl w:val="5"/>
      </w:numPr>
      <w:outlineLvl w:val="5"/>
    </w:pPr>
    <w:rPr>
      <w:b w:val="0"/>
      <w:bCs w:val="0"/>
      <w:szCs w:val="22"/>
    </w:rPr>
  </w:style>
  <w:style w:type="paragraph" w:styleId="berschrift7">
    <w:name w:val="heading 7"/>
    <w:basedOn w:val="berschrift3"/>
    <w:next w:val="Standard"/>
    <w:link w:val="berschrift7Zchn"/>
    <w:unhideWhenUsed/>
    <w:pPr>
      <w:numPr>
        <w:ilvl w:val="6"/>
      </w:numPr>
      <w:outlineLvl w:val="6"/>
    </w:pPr>
    <w:rPr>
      <w:b w:val="0"/>
    </w:rPr>
  </w:style>
  <w:style w:type="paragraph" w:styleId="berschrift8">
    <w:name w:val="heading 8"/>
    <w:basedOn w:val="berschrift3"/>
    <w:next w:val="Standard"/>
    <w:link w:val="berschrift8Zchn"/>
    <w:unhideWhenUsed/>
    <w:pPr>
      <w:numPr>
        <w:ilvl w:val="7"/>
      </w:numPr>
      <w:tabs>
        <w:tab w:val="left" w:pos="1134"/>
      </w:tabs>
      <w:outlineLvl w:val="7"/>
    </w:pPr>
    <w:rPr>
      <w:b w:val="0"/>
      <w:iCs/>
    </w:rPr>
  </w:style>
  <w:style w:type="paragraph" w:styleId="berschrift9">
    <w:name w:val="heading 9"/>
    <w:aliases w:val="Blocktitel_in_PDF_IVZ_und_linkfaehig"/>
    <w:basedOn w:val="Blocktext"/>
    <w:next w:val="Blocktext"/>
    <w:link w:val="berschrift9Zchn"/>
    <w:pPr>
      <w:keepNext/>
      <w:keepLines/>
      <w:tabs>
        <w:tab w:val="left" w:pos="1134"/>
      </w:tabs>
      <w:spacing w:before="240" w:after="100" w:line="240" w:lineRule="atLeast"/>
      <w:ind w:left="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locktitel">
    <w:name w:val="Blocktitel"/>
    <w:basedOn w:val="Blocktext"/>
    <w:next w:val="Blocktext"/>
    <w:qFormat/>
    <w:pPr>
      <w:keepNext/>
      <w:keepLines/>
      <w:tabs>
        <w:tab w:val="left" w:pos="1134"/>
      </w:tabs>
      <w:spacing w:before="240" w:after="100" w:line="240" w:lineRule="atLeast"/>
      <w:ind w:left="0"/>
    </w:pPr>
    <w:rPr>
      <w:b/>
    </w:rPr>
  </w:style>
  <w:style w:type="paragraph" w:styleId="Blocktext">
    <w:name w:val="Block Text"/>
    <w:basedOn w:val="Standard"/>
    <w:link w:val="BlocktextZchn"/>
    <w:qFormat/>
    <w:pPr>
      <w:spacing w:before="80" w:after="80"/>
      <w:ind w:left="1134"/>
    </w:pPr>
    <w:rPr>
      <w:szCs w:val="20"/>
      <w:lang w:eastAsia="en-US"/>
    </w:rPr>
  </w:style>
  <w:style w:type="character" w:customStyle="1" w:styleId="BlocktextZchn1">
    <w:name w:val="Blocktext Zchn1"/>
    <w:basedOn w:val="Absatz-Standardschriftart"/>
    <w:rPr>
      <w:rFonts w:ascii="Arial" w:eastAsia="Arial Unicode MS" w:hAnsi="Arial"/>
      <w:lang w:eastAsia="en-US"/>
    </w:rPr>
  </w:style>
  <w:style w:type="character" w:customStyle="1" w:styleId="berschrift1Zchn">
    <w:name w:val="Überschrift 1 Zchn"/>
    <w:basedOn w:val="Absatz-Standardschriftart"/>
    <w:link w:val="berschrift1"/>
    <w:rPr>
      <w:rFonts w:ascii="Arial" w:eastAsia="Arial Unicode MS" w:hAnsi="Arial" w:cs="Arial"/>
      <w:b/>
      <w:bCs/>
      <w:kern w:val="32"/>
      <w:sz w:val="36"/>
      <w:szCs w:val="32"/>
      <w:lang w:eastAsia="ja-JP"/>
    </w:rPr>
  </w:style>
  <w:style w:type="paragraph" w:customStyle="1" w:styleId="Basis">
    <w:name w:val="Basis"/>
    <w:basedOn w:val="Standard"/>
    <w:pPr>
      <w:jc w:val="center"/>
    </w:pPr>
    <w:rPr>
      <w:b/>
      <w:color w:val="FFFFFF"/>
      <w:sz w:val="100"/>
    </w:rPr>
  </w:style>
  <w:style w:type="paragraph" w:styleId="Beschriftung">
    <w:name w:val="caption"/>
    <w:basedOn w:val="Standard"/>
    <w:next w:val="Standard"/>
    <w:pPr>
      <w:spacing w:before="120" w:after="120"/>
    </w:pPr>
    <w:rPr>
      <w:b/>
      <w:bCs/>
      <w:szCs w:val="20"/>
    </w:rPr>
  </w:style>
  <w:style w:type="character" w:styleId="BesuchterHyperlink">
    <w:name w:val="FollowedHyperlink"/>
    <w:basedOn w:val="Absatz-Standardschriftart"/>
    <w:rPr>
      <w:color w:val="0000FF"/>
      <w:u w:val="single"/>
    </w:rPr>
  </w:style>
  <w:style w:type="paragraph" w:customStyle="1" w:styleId="BildBeschriftungSeitenbreite">
    <w:name w:val="BildBeschriftung_Seitenbreite"/>
    <w:basedOn w:val="Blocktext"/>
    <w:next w:val="Blocktext"/>
    <w:pPr>
      <w:keepNext/>
      <w:spacing w:before="60" w:after="60"/>
      <w:ind w:hanging="1134"/>
    </w:pPr>
    <w:rPr>
      <w:sz w:val="18"/>
    </w:rPr>
  </w:style>
  <w:style w:type="paragraph" w:customStyle="1" w:styleId="BildBeschriftungtextBreite">
    <w:name w:val="BildBeschriftung_textBreite"/>
    <w:basedOn w:val="Blocktext"/>
    <w:next w:val="Blocktext"/>
    <w:pPr>
      <w:keepNext/>
      <w:tabs>
        <w:tab w:val="left" w:pos="2268"/>
      </w:tabs>
      <w:spacing w:before="60" w:after="60"/>
      <w:ind w:left="2268" w:hanging="1134"/>
    </w:pPr>
    <w:rPr>
      <w:sz w:val="18"/>
    </w:rPr>
  </w:style>
  <w:style w:type="paragraph" w:customStyle="1" w:styleId="BlocktitelIVZ">
    <w:name w:val="Blocktitel_IVZ"/>
    <w:basedOn w:val="Blocktitel"/>
    <w:next w:val="Blocktext"/>
  </w:style>
  <w:style w:type="paragraph" w:styleId="Dokumentstruktur">
    <w:name w:val="Document Map"/>
    <w:basedOn w:val="Standard"/>
    <w:link w:val="DokumentstrukturZchn"/>
    <w:semiHidden/>
    <w:pPr>
      <w:shd w:val="clear" w:color="auto" w:fill="000080"/>
    </w:pPr>
    <w:rPr>
      <w:rFonts w:ascii="Tahoma" w:hAnsi="Tahoma" w:cs="Tahoma"/>
      <w:szCs w:val="20"/>
    </w:rPr>
  </w:style>
  <w:style w:type="paragraph" w:customStyle="1" w:styleId="CautionWarningDanger">
    <w:name w:val="CautionWarningDanger"/>
    <w:basedOn w:val="Textkrper"/>
    <w:pPr>
      <w:keepNext/>
      <w:keepLines/>
      <w:spacing w:before="80"/>
    </w:pPr>
    <w:rPr>
      <w:b/>
      <w:szCs w:val="20"/>
    </w:rPr>
  </w:style>
  <w:style w:type="paragraph" w:customStyle="1" w:styleId="CWDGraphic">
    <w:name w:val="CWDGraphic"/>
    <w:basedOn w:val="Standard"/>
    <w:pPr>
      <w:spacing w:before="60"/>
    </w:pPr>
    <w:rPr>
      <w:szCs w:val="20"/>
    </w:rPr>
  </w:style>
  <w:style w:type="paragraph" w:customStyle="1" w:styleId="Dokument-Titel">
    <w:name w:val="Dokument-Titel"/>
    <w:pPr>
      <w:autoSpaceDE w:val="0"/>
      <w:autoSpaceDN w:val="0"/>
      <w:adjustRightInd w:val="0"/>
      <w:spacing w:line="480" w:lineRule="exact"/>
    </w:pPr>
    <w:rPr>
      <w:rFonts w:ascii="Arial" w:eastAsia="Arial Unicode MS" w:hAnsi="Arial"/>
      <w:b/>
      <w:color w:val="000000"/>
      <w:sz w:val="40"/>
      <w:szCs w:val="38"/>
    </w:rPr>
  </w:style>
  <w:style w:type="paragraph" w:customStyle="1" w:styleId="Dokument-Untertitel">
    <w:name w:val="Dokument-Untertitel"/>
    <w:pPr>
      <w:autoSpaceDE w:val="0"/>
      <w:autoSpaceDN w:val="0"/>
      <w:adjustRightInd w:val="0"/>
      <w:spacing w:line="364" w:lineRule="exact"/>
    </w:pPr>
    <w:rPr>
      <w:rFonts w:ascii="Arial Unicode MS" w:eastAsia="Arial Unicode MS" w:hAnsi="Arial Unicode MS"/>
      <w:b/>
      <w:color w:val="000000"/>
      <w:sz w:val="28"/>
      <w:szCs w:val="38"/>
    </w:rPr>
  </w:style>
  <w:style w:type="paragraph" w:styleId="Fuzeile">
    <w:name w:val="footer"/>
    <w:basedOn w:val="Standard"/>
    <w:link w:val="FuzeileZchn"/>
    <w:uiPriority w:val="99"/>
    <w:pPr>
      <w:tabs>
        <w:tab w:val="center" w:pos="4536"/>
        <w:tab w:val="right" w:pos="9072"/>
      </w:tabs>
    </w:pPr>
    <w:rPr>
      <w:sz w:val="16"/>
    </w:rPr>
  </w:style>
  <w:style w:type="paragraph" w:customStyle="1" w:styleId="FuzeileSeitenzahl">
    <w:name w:val="Fußzeile_Seitenzahl"/>
    <w:basedOn w:val="Fuzeile"/>
    <w:pPr>
      <w:tabs>
        <w:tab w:val="clear" w:pos="4536"/>
        <w:tab w:val="clear" w:pos="9072"/>
      </w:tabs>
      <w:jc w:val="right"/>
    </w:pPr>
    <w:rPr>
      <w:sz w:val="20"/>
    </w:rPr>
  </w:style>
  <w:style w:type="paragraph" w:styleId="Aufzhlungszeichen">
    <w:name w:val="List Bullet"/>
    <w:basedOn w:val="Standard"/>
    <w:autoRedefine/>
    <w:unhideWhenUsed/>
    <w:pPr>
      <w:numPr>
        <w:numId w:val="1"/>
      </w:numPr>
    </w:pPr>
  </w:style>
  <w:style w:type="paragraph" w:customStyle="1" w:styleId="Hinweis">
    <w:name w:val="Hinweis"/>
    <w:basedOn w:val="CautionWarningDanger"/>
    <w:pPr>
      <w:spacing w:before="120" w:after="160"/>
    </w:pPr>
    <w:rPr>
      <w:b w:val="0"/>
    </w:rPr>
  </w:style>
  <w:style w:type="character" w:customStyle="1" w:styleId="Hochstellen">
    <w:name w:val="Hochstellen"/>
    <w:basedOn w:val="Absatz-Standardschriftart"/>
    <w:rPr>
      <w:vertAlign w:val="superscript"/>
      <w:lang w:val="de-DE"/>
    </w:rPr>
  </w:style>
  <w:style w:type="character" w:styleId="Hyperlink">
    <w:name w:val="Hyperlink"/>
    <w:basedOn w:val="Absatz-Standardschriftart"/>
    <w:uiPriority w:val="99"/>
    <w:rPr>
      <w:rFonts w:ascii="Arial" w:hAnsi="Arial"/>
      <w:color w:val="0000FF"/>
      <w:u w:val="single"/>
    </w:rPr>
  </w:style>
  <w:style w:type="paragraph" w:styleId="Index1">
    <w:name w:val="index 1"/>
    <w:basedOn w:val="Standard"/>
    <w:next w:val="Standard"/>
    <w:semiHidden/>
    <w:pPr>
      <w:ind w:left="240" w:hanging="240"/>
    </w:pPr>
    <w:rPr>
      <w:rFonts w:ascii="Helvetica" w:hAnsi="Helvetica"/>
    </w:rPr>
  </w:style>
  <w:style w:type="paragraph" w:styleId="Index2">
    <w:name w:val="index 2"/>
    <w:basedOn w:val="Standard"/>
    <w:next w:val="Standard"/>
    <w:autoRedefine/>
    <w:semiHidden/>
    <w:pPr>
      <w:ind w:left="480" w:hanging="240"/>
    </w:pPr>
    <w:rPr>
      <w:rFonts w:ascii="Helvetica" w:hAnsi="Helvetica"/>
    </w:rPr>
  </w:style>
  <w:style w:type="paragraph" w:styleId="Index3">
    <w:name w:val="index 3"/>
    <w:basedOn w:val="Standard"/>
    <w:next w:val="Standard"/>
    <w:autoRedefine/>
    <w:semiHidden/>
    <w:pPr>
      <w:ind w:left="720" w:hanging="240"/>
    </w:pPr>
  </w:style>
  <w:style w:type="paragraph" w:styleId="Index4">
    <w:name w:val="index 4"/>
    <w:basedOn w:val="Standard"/>
    <w:next w:val="Standard"/>
    <w:autoRedefine/>
    <w:semiHidden/>
    <w:pPr>
      <w:ind w:left="960" w:hanging="240"/>
    </w:pPr>
  </w:style>
  <w:style w:type="paragraph" w:styleId="Index5">
    <w:name w:val="index 5"/>
    <w:basedOn w:val="Standard"/>
    <w:next w:val="Standard"/>
    <w:autoRedefine/>
    <w:semiHidden/>
    <w:pPr>
      <w:ind w:left="1200" w:hanging="240"/>
    </w:pPr>
  </w:style>
  <w:style w:type="paragraph" w:styleId="Index6">
    <w:name w:val="index 6"/>
    <w:basedOn w:val="Standard"/>
    <w:next w:val="Standard"/>
    <w:autoRedefine/>
    <w:semiHidden/>
    <w:pPr>
      <w:ind w:left="1440" w:hanging="240"/>
    </w:pPr>
  </w:style>
  <w:style w:type="paragraph" w:styleId="Index7">
    <w:name w:val="index 7"/>
    <w:basedOn w:val="Standard"/>
    <w:next w:val="Standard"/>
    <w:autoRedefine/>
    <w:semiHidden/>
    <w:pPr>
      <w:ind w:left="1680" w:hanging="240"/>
    </w:pPr>
  </w:style>
  <w:style w:type="paragraph" w:styleId="Index8">
    <w:name w:val="index 8"/>
    <w:basedOn w:val="Standard"/>
    <w:next w:val="Standard"/>
    <w:autoRedefine/>
    <w:semiHidden/>
    <w:pPr>
      <w:ind w:left="1920" w:hanging="240"/>
    </w:pPr>
  </w:style>
  <w:style w:type="paragraph" w:styleId="Index9">
    <w:name w:val="index 9"/>
    <w:basedOn w:val="Standard"/>
    <w:next w:val="Standard"/>
    <w:autoRedefine/>
    <w:semiHidden/>
    <w:pPr>
      <w:ind w:left="2160" w:hanging="240"/>
    </w:pPr>
  </w:style>
  <w:style w:type="paragraph" w:styleId="Indexberschrift">
    <w:name w:val="index heading"/>
    <w:basedOn w:val="Standard"/>
    <w:next w:val="Index1"/>
    <w:semiHidden/>
  </w:style>
  <w:style w:type="paragraph" w:styleId="Kopfzeile">
    <w:name w:val="header"/>
    <w:aliases w:val="Kopfzeile 1,Kopfzeile Zeile 1"/>
    <w:basedOn w:val="Standard"/>
    <w:next w:val="Standard"/>
    <w:link w:val="KopfzeileZchn"/>
    <w:autoRedefine/>
    <w:pPr>
      <w:tabs>
        <w:tab w:val="center" w:pos="4536"/>
        <w:tab w:val="right" w:pos="9072"/>
      </w:tabs>
      <w:jc w:val="right"/>
    </w:pPr>
  </w:style>
  <w:style w:type="paragraph" w:customStyle="1" w:styleId="Kopfzeile2">
    <w:name w:val="Kopfzeile 2"/>
    <w:basedOn w:val="Kopfzeile"/>
    <w:pPr>
      <w:tabs>
        <w:tab w:val="clear" w:pos="9072"/>
        <w:tab w:val="right" w:pos="8505"/>
      </w:tabs>
    </w:pPr>
    <w:rPr>
      <w:bCs/>
    </w:rPr>
  </w:style>
  <w:style w:type="paragraph" w:customStyle="1" w:styleId="KopfzeileDokutitel">
    <w:name w:val="Kopfzeile_Dokutitel"/>
    <w:basedOn w:val="Kopfzeile"/>
    <w:pPr>
      <w:tabs>
        <w:tab w:val="clear" w:pos="4536"/>
        <w:tab w:val="center" w:pos="4253"/>
      </w:tabs>
      <w:jc w:val="left"/>
    </w:pPr>
  </w:style>
  <w:style w:type="paragraph" w:customStyle="1" w:styleId="KopfzeileLogo">
    <w:name w:val="Kopfzeile_Logo"/>
    <w:basedOn w:val="Kopfzeile"/>
    <w:next w:val="Kopfzeile"/>
    <w:pPr>
      <w:spacing w:after="240"/>
      <w:jc w:val="left"/>
    </w:pPr>
  </w:style>
  <w:style w:type="paragraph" w:styleId="Titel">
    <w:name w:val="Title"/>
    <w:basedOn w:val="Standard"/>
    <w:link w:val="TitelZchn"/>
    <w:pPr>
      <w:spacing w:before="240" w:after="60"/>
      <w:jc w:val="center"/>
      <w:outlineLvl w:val="0"/>
    </w:pPr>
    <w:rPr>
      <w:rFonts w:cs="Arial"/>
      <w:b/>
      <w:bCs/>
      <w:kern w:val="28"/>
      <w:sz w:val="32"/>
      <w:szCs w:val="32"/>
    </w:rPr>
  </w:style>
  <w:style w:type="paragraph" w:customStyle="1" w:styleId="MAP">
    <w:name w:val="MAP"/>
    <w:basedOn w:val="Titel"/>
    <w:next w:val="Standard"/>
    <w:autoRedefine/>
    <w:pPr>
      <w:pageBreakBefore/>
      <w:jc w:val="left"/>
      <w:outlineLvl w:val="9"/>
    </w:pPr>
    <w:rPr>
      <w:rFonts w:cs="Times New Roman"/>
      <w:bCs w:val="0"/>
      <w:sz w:val="28"/>
      <w:szCs w:val="20"/>
    </w:rPr>
  </w:style>
  <w:style w:type="paragraph" w:customStyle="1" w:styleId="Maptext">
    <w:name w:val="Maptext"/>
    <w:basedOn w:val="Blocktext"/>
    <w:pPr>
      <w:spacing w:after="0"/>
      <w:ind w:left="0"/>
    </w:pPr>
    <w:rPr>
      <w:rFonts w:cs="Arial"/>
      <w:color w:val="0000FF"/>
      <w:sz w:val="28"/>
    </w:rPr>
  </w:style>
  <w:style w:type="paragraph" w:customStyle="1" w:styleId="Maptextschwarz">
    <w:name w:val="Maptext schwarz"/>
    <w:basedOn w:val="Maptext"/>
    <w:rPr>
      <w:color w:val="auto"/>
      <w:sz w:val="20"/>
    </w:rPr>
  </w:style>
  <w:style w:type="character" w:customStyle="1" w:styleId="Menuepunktxyz">
    <w:name w:val="Menuepunkt xyz"/>
    <w:basedOn w:val="Absatz-Standardschriftart"/>
    <w:rPr>
      <w:rFonts w:ascii="Courier" w:hAnsi="Courier"/>
      <w:lang w:val="de-DE"/>
    </w:rPr>
  </w:style>
  <w:style w:type="paragraph" w:customStyle="1" w:styleId="NummerierteListe">
    <w:name w:val="NummerierteListe"/>
    <w:basedOn w:val="Blocktext"/>
    <w:pPr>
      <w:numPr>
        <w:numId w:val="17"/>
      </w:numPr>
    </w:pPr>
  </w:style>
  <w:style w:type="paragraph" w:customStyle="1" w:styleId="Seitenrandklein">
    <w:name w:val="Seitenrand_klein"/>
    <w:basedOn w:val="Standard"/>
    <w:pPr>
      <w:suppressAutoHyphens/>
      <w:jc w:val="center"/>
    </w:pPr>
    <w:rPr>
      <w:sz w:val="12"/>
      <w:szCs w:val="20"/>
    </w:rPr>
  </w:style>
  <w:style w:type="paragraph" w:customStyle="1" w:styleId="Seitenrandgro">
    <w:name w:val="Seitenrand_groß"/>
    <w:basedOn w:val="Seitenrandklein"/>
    <w:pPr>
      <w:framePr w:w="567" w:h="3686" w:hRule="exact" w:wrap="notBeside" w:vAnchor="page" w:hAnchor="page" w:x="568" w:y="6607"/>
      <w:shd w:val="solid" w:color="FFFFFF" w:fill="FFFFFF"/>
      <w:textDirection w:val="btLr"/>
    </w:pPr>
    <w:rPr>
      <w:sz w:val="16"/>
    </w:rPr>
  </w:style>
  <w:style w:type="paragraph" w:customStyle="1" w:styleId="TabelleTextlinks">
    <w:name w:val="TabelleText_links"/>
    <w:basedOn w:val="Blocktext"/>
    <w:link w:val="TabelleTextlinksZchn"/>
    <w:pPr>
      <w:tabs>
        <w:tab w:val="left" w:pos="284"/>
        <w:tab w:val="left" w:pos="567"/>
        <w:tab w:val="left" w:pos="851"/>
        <w:tab w:val="left" w:pos="1134"/>
        <w:tab w:val="left" w:pos="1418"/>
        <w:tab w:val="left" w:pos="1701"/>
        <w:tab w:val="left" w:pos="1985"/>
        <w:tab w:val="left" w:pos="2268"/>
        <w:tab w:val="left" w:pos="2552"/>
        <w:tab w:val="left" w:pos="2835"/>
      </w:tabs>
      <w:spacing w:before="40" w:after="40"/>
      <w:ind w:left="0"/>
    </w:pPr>
    <w:rPr>
      <w:sz w:val="18"/>
    </w:rPr>
  </w:style>
  <w:style w:type="character" w:customStyle="1" w:styleId="TabelleTextlinksZchn">
    <w:name w:val="TabelleText_links Zchn"/>
    <w:basedOn w:val="BlocktextZchn"/>
    <w:link w:val="TabelleTextlinks"/>
    <w:rPr>
      <w:rFonts w:ascii="Arial" w:eastAsia="Arial Unicode MS" w:hAnsi="Arial"/>
      <w:sz w:val="18"/>
      <w:lang w:eastAsia="en-US"/>
    </w:rPr>
  </w:style>
  <w:style w:type="paragraph" w:customStyle="1" w:styleId="TabelleNummerierteListe">
    <w:name w:val="Tabelle_NummerierteListe"/>
    <w:basedOn w:val="TabelleTextlinks"/>
    <w:pPr>
      <w:numPr>
        <w:numId w:val="13"/>
      </w:numPr>
      <w:tabs>
        <w:tab w:val="clear" w:pos="284"/>
      </w:tabs>
    </w:pPr>
  </w:style>
  <w:style w:type="paragraph" w:customStyle="1" w:styleId="TabelleNummerierteZeile">
    <w:name w:val="Tabelle_NummerierteZeile"/>
    <w:basedOn w:val="TabelleNummerierteListe"/>
    <w:pPr>
      <w:numPr>
        <w:numId w:val="4"/>
      </w:numPr>
    </w:pPr>
  </w:style>
  <w:style w:type="paragraph" w:customStyle="1" w:styleId="TabelleBulletText1">
    <w:name w:val="TabelleBullet_Text1"/>
    <w:basedOn w:val="TabelleTextlinks"/>
    <w:pPr>
      <w:numPr>
        <w:numId w:val="5"/>
      </w:numPr>
      <w:tabs>
        <w:tab w:val="clear" w:pos="284"/>
      </w:tabs>
    </w:pPr>
  </w:style>
  <w:style w:type="paragraph" w:customStyle="1" w:styleId="TabelleBulletText2">
    <w:name w:val="TabelleBullet_Text2"/>
    <w:basedOn w:val="TabelleBulletText1"/>
    <w:pPr>
      <w:numPr>
        <w:numId w:val="16"/>
      </w:numPr>
      <w:tabs>
        <w:tab w:val="clear" w:pos="567"/>
        <w:tab w:val="clear" w:pos="1134"/>
        <w:tab w:val="left" w:pos="709"/>
      </w:tabs>
    </w:pPr>
  </w:style>
  <w:style w:type="paragraph" w:customStyle="1" w:styleId="TabelleKopflinks">
    <w:name w:val="TabelleKopf_links"/>
    <w:basedOn w:val="Blocktext"/>
    <w:pPr>
      <w:keepNext/>
      <w:widowControl w:val="0"/>
      <w:tabs>
        <w:tab w:val="left" w:pos="284"/>
        <w:tab w:val="left" w:pos="567"/>
        <w:tab w:val="left" w:pos="851"/>
        <w:tab w:val="left" w:pos="1134"/>
      </w:tabs>
      <w:spacing w:before="60" w:after="60"/>
      <w:ind w:left="0"/>
    </w:pPr>
    <w:rPr>
      <w:b/>
      <w:sz w:val="18"/>
    </w:rPr>
  </w:style>
  <w:style w:type="paragraph" w:customStyle="1" w:styleId="TabelleKopfzentriert">
    <w:name w:val="TabelleKopf_zentriert"/>
    <w:basedOn w:val="TabelleKopflinks"/>
    <w:pPr>
      <w:jc w:val="center"/>
    </w:pPr>
  </w:style>
  <w:style w:type="paragraph" w:customStyle="1" w:styleId="TabellenBeschriftungSeitenbreite">
    <w:name w:val="TabellenBeschriftung_Seitenbreite"/>
    <w:basedOn w:val="TabelleTextlinks"/>
    <w:pPr>
      <w:keepNext/>
      <w:spacing w:before="60" w:after="60"/>
      <w:ind w:left="1134" w:hanging="1134"/>
    </w:pPr>
  </w:style>
  <w:style w:type="paragraph" w:customStyle="1" w:styleId="TabellenBeschriftungTextBreite">
    <w:name w:val="TabellenBeschriftung_TextBreite"/>
    <w:basedOn w:val="TabelleTextlinks"/>
    <w:link w:val="TabellenBeschriftungTextBreiteZchn"/>
    <w:pPr>
      <w:keepNext/>
      <w:spacing w:before="60" w:after="60"/>
      <w:ind w:left="2268" w:hanging="1134"/>
    </w:pPr>
  </w:style>
  <w:style w:type="character" w:customStyle="1" w:styleId="TabellenBeschriftungTextBreiteZchn">
    <w:name w:val="TabellenBeschriftung_TextBreite Zchn"/>
    <w:basedOn w:val="TabelleTextlinksZchn"/>
    <w:link w:val="TabellenBeschriftungTextBreite"/>
    <w:rPr>
      <w:rFonts w:ascii="Arial" w:eastAsia="Arial Unicode MS" w:hAnsi="Arial"/>
      <w:sz w:val="18"/>
      <w:lang w:eastAsia="en-US"/>
    </w:rPr>
  </w:style>
  <w:style w:type="paragraph" w:customStyle="1" w:styleId="TabelleTextrechts">
    <w:name w:val="TabelleText_rechts"/>
    <w:basedOn w:val="TabelleTextlinks"/>
    <w:pPr>
      <w:tabs>
        <w:tab w:val="clear" w:pos="284"/>
        <w:tab w:val="clear" w:pos="567"/>
        <w:tab w:val="clear" w:pos="851"/>
        <w:tab w:val="clear" w:pos="1134"/>
        <w:tab w:val="clear" w:pos="1418"/>
        <w:tab w:val="clear" w:pos="1701"/>
        <w:tab w:val="clear" w:pos="1985"/>
        <w:tab w:val="clear" w:pos="2268"/>
        <w:tab w:val="clear" w:pos="2552"/>
        <w:tab w:val="clear" w:pos="2835"/>
      </w:tabs>
      <w:jc w:val="right"/>
    </w:pPr>
  </w:style>
  <w:style w:type="paragraph" w:customStyle="1" w:styleId="TabelleTextzentriert">
    <w:name w:val="TabelleText_zentriert"/>
    <w:basedOn w:val="TabelleTextrechts"/>
    <w:pPr>
      <w:jc w:val="center"/>
    </w:pPr>
  </w:style>
  <w:style w:type="paragraph" w:customStyle="1" w:styleId="berschriftTeil">
    <w:name w:val="Überschrift_Teil"/>
    <w:basedOn w:val="Blocktext"/>
    <w:next w:val="Standard"/>
    <w:pPr>
      <w:pageBreakBefore/>
      <w:spacing w:after="360"/>
      <w:ind w:left="0"/>
    </w:pPr>
    <w:rPr>
      <w:b/>
      <w:kern w:val="28"/>
      <w:sz w:val="36"/>
    </w:rPr>
  </w:style>
  <w:style w:type="character" w:customStyle="1" w:styleId="berschriftTeilZchn">
    <w:name w:val="Überschrift_Teil Zchn"/>
    <w:basedOn w:val="Absatz-Standardschriftart"/>
    <w:rPr>
      <w:rFonts w:ascii="Arial" w:eastAsia="MS Mincho" w:hAnsi="Arial"/>
      <w:b/>
      <w:kern w:val="28"/>
      <w:sz w:val="32"/>
      <w:lang w:val="de-DE" w:eastAsia="en-US" w:bidi="ar-SA"/>
    </w:rPr>
  </w:style>
  <w:style w:type="paragraph" w:customStyle="1" w:styleId="berschriftbersicht">
    <w:name w:val="Überschrift_Übersicht"/>
    <w:basedOn w:val="Standard"/>
    <w:link w:val="berschriftbersichtZchn"/>
    <w:pPr>
      <w:keepNext/>
      <w:keepLines/>
      <w:pageBreakBefore/>
      <w:tabs>
        <w:tab w:val="left" w:pos="1134"/>
      </w:tabs>
      <w:spacing w:before="80" w:line="240" w:lineRule="atLeast"/>
      <w:outlineLvl w:val="0"/>
    </w:pPr>
    <w:rPr>
      <w:b/>
      <w:sz w:val="36"/>
      <w:szCs w:val="20"/>
      <w:lang w:eastAsia="en-US"/>
    </w:rPr>
  </w:style>
  <w:style w:type="paragraph" w:customStyle="1" w:styleId="BulletText">
    <w:name w:val="Bullet_Text"/>
    <w:basedOn w:val="Blocktext"/>
    <w:pPr>
      <w:tabs>
        <w:tab w:val="left" w:pos="1491"/>
      </w:tabs>
      <w:ind w:left="1491" w:hanging="357"/>
    </w:pPr>
  </w:style>
  <w:style w:type="paragraph" w:styleId="Verzeichnis1">
    <w:name w:val="toc 1"/>
    <w:basedOn w:val="Standard"/>
    <w:next w:val="Standard"/>
    <w:uiPriority w:val="39"/>
    <w:pPr>
      <w:tabs>
        <w:tab w:val="left" w:leader="dot" w:pos="0"/>
        <w:tab w:val="right" w:leader="dot" w:pos="8505"/>
      </w:tabs>
      <w:spacing w:before="120" w:after="120"/>
      <w:ind w:left="1418" w:right="567" w:hanging="567"/>
    </w:pPr>
    <w:rPr>
      <w:b/>
      <w:noProof/>
      <w:szCs w:val="22"/>
    </w:rPr>
  </w:style>
  <w:style w:type="paragraph" w:styleId="Verzeichnis2">
    <w:name w:val="toc 2"/>
    <w:basedOn w:val="Standard"/>
    <w:next w:val="Standard"/>
    <w:pPr>
      <w:tabs>
        <w:tab w:val="left" w:leader="dot" w:pos="851"/>
        <w:tab w:val="right" w:leader="dot" w:pos="8505"/>
      </w:tabs>
      <w:spacing w:before="120"/>
      <w:ind w:left="2269" w:hanging="851"/>
    </w:pPr>
    <w:rPr>
      <w:noProof/>
    </w:rPr>
  </w:style>
  <w:style w:type="paragraph" w:styleId="Verzeichnis3">
    <w:name w:val="toc 3"/>
    <w:basedOn w:val="Standard"/>
    <w:next w:val="Standard"/>
    <w:uiPriority w:val="39"/>
    <w:pPr>
      <w:tabs>
        <w:tab w:val="left" w:leader="dot" w:pos="851"/>
        <w:tab w:val="right" w:leader="dot" w:pos="8505"/>
      </w:tabs>
      <w:ind w:left="2269" w:right="567" w:hanging="851"/>
    </w:pPr>
    <w:rPr>
      <w:noProof/>
    </w:rPr>
  </w:style>
  <w:style w:type="paragraph" w:styleId="Verzeichnis4">
    <w:name w:val="toc 4"/>
    <w:basedOn w:val="Standard"/>
    <w:next w:val="Standard"/>
    <w:pPr>
      <w:tabs>
        <w:tab w:val="right" w:leader="dot" w:pos="851"/>
        <w:tab w:val="right" w:leader="dot" w:pos="8505"/>
      </w:tabs>
      <w:ind w:left="3119" w:hanging="851"/>
    </w:pPr>
    <w:rPr>
      <w:noProof/>
    </w:rPr>
  </w:style>
  <w:style w:type="paragraph" w:styleId="Verzeichnis5">
    <w:name w:val="toc 5"/>
    <w:basedOn w:val="Standard"/>
    <w:next w:val="Standard"/>
    <w:pPr>
      <w:ind w:left="958"/>
    </w:pPr>
  </w:style>
  <w:style w:type="paragraph" w:styleId="Verzeichnis6">
    <w:name w:val="toc 6"/>
    <w:basedOn w:val="Standard"/>
    <w:next w:val="Standard"/>
    <w:autoRedefine/>
    <w:pPr>
      <w:ind w:left="1200"/>
    </w:pPr>
  </w:style>
  <w:style w:type="paragraph" w:styleId="Verzeichnis7">
    <w:name w:val="toc 7"/>
    <w:basedOn w:val="Standard"/>
    <w:next w:val="Standard"/>
    <w:autoRedefine/>
    <w:pPr>
      <w:ind w:left="1440"/>
    </w:pPr>
  </w:style>
  <w:style w:type="paragraph" w:styleId="Verzeichnis8">
    <w:name w:val="toc 8"/>
    <w:basedOn w:val="Standard"/>
    <w:next w:val="Standard"/>
    <w:autoRedefine/>
    <w:pPr>
      <w:ind w:left="1680"/>
    </w:pPr>
  </w:style>
  <w:style w:type="paragraph" w:styleId="Verzeichnis9">
    <w:name w:val="toc 9"/>
    <w:basedOn w:val="Standard"/>
    <w:next w:val="Standard"/>
    <w:autoRedefine/>
    <w:pPr>
      <w:ind w:left="1920"/>
    </w:pPr>
  </w:style>
  <w:style w:type="paragraph" w:styleId="Sprechblasentext">
    <w:name w:val="Balloon Text"/>
    <w:basedOn w:val="Standard"/>
    <w:link w:val="SprechblasentextZchn"/>
    <w:semiHidden/>
    <w:rPr>
      <w:rFonts w:ascii="Tahoma" w:hAnsi="Tahoma" w:cs="Tahoma"/>
      <w:sz w:val="16"/>
      <w:szCs w:val="16"/>
    </w:rPr>
  </w:style>
  <w:style w:type="paragraph" w:customStyle="1" w:styleId="Logo">
    <w:name w:val="Logo"/>
    <w:basedOn w:val="Standard"/>
    <w:pPr>
      <w:ind w:left="-602"/>
    </w:pPr>
  </w:style>
  <w:style w:type="paragraph" w:customStyle="1" w:styleId="BulletText2">
    <w:name w:val="Bullet_Text2"/>
    <w:basedOn w:val="BulletText1"/>
    <w:pPr>
      <w:numPr>
        <w:numId w:val="3"/>
      </w:numPr>
      <w:tabs>
        <w:tab w:val="clear" w:pos="1491"/>
      </w:tabs>
    </w:pPr>
  </w:style>
  <w:style w:type="character" w:styleId="Seitenzahl">
    <w:name w:val="page number"/>
    <w:basedOn w:val="Absatz-Standardschriftart"/>
  </w:style>
  <w:style w:type="table" w:styleId="Tabellenraster">
    <w:name w:val="Table Grid"/>
    <w:basedOn w:val="NormaleTabelle"/>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yword36">
    <w:name w:val="Keyword 36"/>
    <w:basedOn w:val="Standard"/>
    <w:pPr>
      <w:keepNext/>
      <w:spacing w:before="152" w:line="850" w:lineRule="exact"/>
      <w:outlineLvl w:val="0"/>
    </w:pPr>
    <w:rPr>
      <w:rFonts w:ascii="Siemens Serif Semibold" w:hAnsi="Siemens Serif Semibold"/>
      <w:color w:val="8CA3B0"/>
      <w:kern w:val="28"/>
      <w:sz w:val="72"/>
      <w:szCs w:val="72"/>
      <w:lang w:val="en-US"/>
    </w:rPr>
  </w:style>
  <w:style w:type="paragraph" w:styleId="Abbildungsverzeichnis">
    <w:name w:val="table of figures"/>
    <w:basedOn w:val="Standard"/>
    <w:next w:val="Standard"/>
  </w:style>
  <w:style w:type="paragraph" w:styleId="Anrede">
    <w:name w:val="Salutation"/>
    <w:basedOn w:val="Standard"/>
    <w:next w:val="Standard"/>
    <w:link w:val="AnredeZchn"/>
  </w:style>
  <w:style w:type="paragraph" w:styleId="Aufzhlungszeichen2">
    <w:name w:val="List Bullet 2"/>
    <w:basedOn w:val="Standard"/>
    <w:pPr>
      <w:tabs>
        <w:tab w:val="num" w:pos="643"/>
      </w:tabs>
      <w:ind w:left="643" w:hanging="360"/>
    </w:pPr>
  </w:style>
  <w:style w:type="paragraph" w:styleId="Aufzhlungszeichen3">
    <w:name w:val="List Bullet 3"/>
    <w:basedOn w:val="Standard"/>
    <w:pPr>
      <w:tabs>
        <w:tab w:val="num" w:pos="926"/>
      </w:tabs>
      <w:ind w:left="926" w:hanging="360"/>
    </w:pPr>
  </w:style>
  <w:style w:type="paragraph" w:styleId="Aufzhlungszeichen4">
    <w:name w:val="List Bullet 4"/>
    <w:basedOn w:val="Standard"/>
    <w:pPr>
      <w:tabs>
        <w:tab w:val="num" w:pos="1209"/>
      </w:tabs>
      <w:ind w:left="1209" w:hanging="360"/>
    </w:pPr>
  </w:style>
  <w:style w:type="paragraph" w:styleId="Aufzhlungszeichen5">
    <w:name w:val="List Bullet 5"/>
    <w:basedOn w:val="Standard"/>
    <w:pPr>
      <w:tabs>
        <w:tab w:val="num" w:pos="1492"/>
      </w:tabs>
      <w:ind w:left="1492" w:hanging="360"/>
    </w:pPr>
  </w:style>
  <w:style w:type="paragraph" w:styleId="Datum">
    <w:name w:val="Date"/>
    <w:basedOn w:val="Standard"/>
    <w:next w:val="Standard"/>
    <w:link w:val="DatumZchn"/>
  </w:style>
  <w:style w:type="paragraph" w:styleId="E-Mail-Signatur">
    <w:name w:val="E-mail Signature"/>
    <w:basedOn w:val="Standard"/>
    <w:link w:val="E-Mail-SignaturZchn"/>
  </w:style>
  <w:style w:type="paragraph" w:styleId="Endnotentext">
    <w:name w:val="endnote text"/>
    <w:basedOn w:val="Standard"/>
    <w:link w:val="EndnotentextZchn"/>
    <w:rPr>
      <w:szCs w:val="20"/>
    </w:rPr>
  </w:style>
  <w:style w:type="paragraph" w:styleId="Fu-Endnotenberschrift">
    <w:name w:val="Note Heading"/>
    <w:basedOn w:val="Standard"/>
    <w:next w:val="Standard"/>
    <w:link w:val="Fu-EndnotenberschriftZchn"/>
  </w:style>
  <w:style w:type="paragraph" w:styleId="Funotentext">
    <w:name w:val="footnote text"/>
    <w:basedOn w:val="Standard"/>
    <w:link w:val="FunotentextZchn"/>
    <w:rPr>
      <w:szCs w:val="20"/>
    </w:rPr>
  </w:style>
  <w:style w:type="paragraph" w:styleId="Gruformel">
    <w:name w:val="Closing"/>
    <w:basedOn w:val="Standard"/>
    <w:link w:val="GruformelZchn"/>
    <w:pPr>
      <w:ind w:left="4252"/>
    </w:pPr>
  </w:style>
  <w:style w:type="paragraph" w:styleId="HTMLAdresse">
    <w:name w:val="HTML Address"/>
    <w:basedOn w:val="Standard"/>
    <w:link w:val="HTMLAdresseZchn"/>
    <w:rPr>
      <w:i/>
      <w:iCs/>
    </w:rPr>
  </w:style>
  <w:style w:type="paragraph" w:styleId="HTMLVorformatiert">
    <w:name w:val="HTML Preformatted"/>
    <w:basedOn w:val="Standard"/>
    <w:link w:val="HTMLVorformatiertZchn"/>
    <w:rPr>
      <w:rFonts w:ascii="Courier New" w:hAnsi="Courier New" w:cs="Courier New"/>
      <w:szCs w:val="20"/>
    </w:rPr>
  </w:style>
  <w:style w:type="paragraph" w:styleId="Kommentartext">
    <w:name w:val="annotation text"/>
    <w:basedOn w:val="Standard"/>
    <w:link w:val="KommentartextZchn"/>
    <w:rPr>
      <w:szCs w:val="20"/>
    </w:rPr>
  </w:style>
  <w:style w:type="paragraph" w:styleId="Kommentarthema">
    <w:name w:val="annotation subject"/>
    <w:basedOn w:val="Kommentartext"/>
    <w:next w:val="Kommentartext"/>
    <w:link w:val="KommentarthemaZchn"/>
    <w:rPr>
      <w:b/>
      <w:bCs/>
    </w:r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2">
    <w:name w:val="List Continue 2"/>
    <w:basedOn w:val="Standard"/>
    <w:pPr>
      <w:spacing w:after="120"/>
      <w:ind w:left="566"/>
    </w:pPr>
  </w:style>
  <w:style w:type="paragraph" w:styleId="Listenfortsetzung3">
    <w:name w:val="List Continue 3"/>
    <w:basedOn w:val="Standard"/>
    <w:pPr>
      <w:spacing w:after="120"/>
      <w:ind w:left="849"/>
    </w:pPr>
  </w:style>
  <w:style w:type="paragraph" w:styleId="Listenfortsetzung4">
    <w:name w:val="List Continue 4"/>
    <w:basedOn w:val="Standard"/>
    <w:pPr>
      <w:spacing w:after="120"/>
      <w:ind w:left="1132"/>
    </w:pPr>
  </w:style>
  <w:style w:type="paragraph" w:styleId="Listenfortsetzung5">
    <w:name w:val="List Continue 5"/>
    <w:basedOn w:val="Standard"/>
    <w:pPr>
      <w:spacing w:after="120"/>
      <w:ind w:left="1415"/>
    </w:pPr>
  </w:style>
  <w:style w:type="paragraph" w:styleId="Listennummer">
    <w:name w:val="List Number"/>
    <w:basedOn w:val="Standard"/>
    <w:pPr>
      <w:numPr>
        <w:numId w:val="6"/>
      </w:numPr>
    </w:pPr>
  </w:style>
  <w:style w:type="paragraph" w:styleId="Listennummer2">
    <w:name w:val="List Number 2"/>
    <w:basedOn w:val="Standard"/>
    <w:pPr>
      <w:numPr>
        <w:numId w:val="7"/>
      </w:numPr>
    </w:pPr>
  </w:style>
  <w:style w:type="paragraph" w:styleId="Listennummer3">
    <w:name w:val="List Number 3"/>
    <w:basedOn w:val="Standard"/>
    <w:pPr>
      <w:numPr>
        <w:numId w:val="8"/>
      </w:numPr>
    </w:pPr>
  </w:style>
  <w:style w:type="paragraph" w:styleId="Listennummer4">
    <w:name w:val="List Number 4"/>
    <w:basedOn w:val="Standard"/>
    <w:pPr>
      <w:numPr>
        <w:numId w:val="9"/>
      </w:numPr>
    </w:pPr>
  </w:style>
  <w:style w:type="paragraph" w:styleId="Listennummer5">
    <w:name w:val="List Number 5"/>
    <w:basedOn w:val="Standard"/>
    <w:pPr>
      <w:numPr>
        <w:numId w:val="10"/>
      </w:numPr>
    </w:pPr>
  </w:style>
  <w:style w:type="paragraph" w:styleId="Makrotext">
    <w:name w:val="macro"/>
    <w:link w:val="MakrotextZchn"/>
    <w:pPr>
      <w:tabs>
        <w:tab w:val="left" w:pos="480"/>
        <w:tab w:val="left" w:pos="960"/>
        <w:tab w:val="left" w:pos="1440"/>
        <w:tab w:val="left" w:pos="1920"/>
        <w:tab w:val="left" w:pos="2400"/>
        <w:tab w:val="left" w:pos="2880"/>
        <w:tab w:val="left" w:pos="3360"/>
        <w:tab w:val="left" w:pos="3840"/>
        <w:tab w:val="left" w:pos="4320"/>
      </w:tabs>
    </w:pPr>
    <w:rPr>
      <w:rFonts w:ascii="Courier New" w:eastAsia="MS Mincho" w:hAnsi="Courier New" w:cs="Courier New"/>
      <w:lang w:eastAsia="ja-JP"/>
    </w:rPr>
  </w:style>
  <w:style w:type="paragraph" w:styleId="Nachrichtenkopf">
    <w:name w:val="Message Header"/>
    <w:basedOn w:val="Standard"/>
    <w:link w:val="NachrichtenkopfZchn"/>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Rechtsgrundlagenverzeichnis">
    <w:name w:val="table of authorities"/>
    <w:basedOn w:val="Standard"/>
    <w:next w:val="Standard"/>
    <w:pPr>
      <w:ind w:left="240" w:hanging="240"/>
    </w:pPr>
  </w:style>
  <w:style w:type="paragraph" w:styleId="RGV-berschrift">
    <w:name w:val="toa heading"/>
    <w:basedOn w:val="Standard"/>
    <w:next w:val="Standard"/>
    <w:pPr>
      <w:spacing w:before="120"/>
    </w:pPr>
    <w:rPr>
      <w:rFonts w:cs="Arial"/>
      <w:b/>
      <w:bCs/>
    </w:rPr>
  </w:style>
  <w:style w:type="paragraph" w:styleId="StandardWeb">
    <w:name w:val="Normal (Web)"/>
    <w:basedOn w:val="Standard"/>
    <w:uiPriority w:val="99"/>
  </w:style>
  <w:style w:type="paragraph" w:styleId="Standardeinzug">
    <w:name w:val="Normal Indent"/>
    <w:basedOn w:val="Standard"/>
    <w:pPr>
      <w:ind w:left="720"/>
    </w:pPr>
  </w:style>
  <w:style w:type="paragraph" w:styleId="Umschlagabsenderadresse">
    <w:name w:val="envelope return"/>
    <w:basedOn w:val="Standard"/>
    <w:rPr>
      <w:rFonts w:cs="Arial"/>
      <w:szCs w:val="20"/>
    </w:rPr>
  </w:style>
  <w:style w:type="paragraph" w:styleId="Umschlagadresse">
    <w:name w:val="envelope address"/>
    <w:basedOn w:val="Standard"/>
    <w:pPr>
      <w:framePr w:w="4320" w:h="2160" w:hRule="exact" w:hSpace="141" w:wrap="auto" w:hAnchor="page" w:xAlign="center" w:yAlign="bottom"/>
      <w:ind w:left="1"/>
    </w:pPr>
    <w:rPr>
      <w:rFonts w:cs="Arial"/>
    </w:rPr>
  </w:style>
  <w:style w:type="paragraph" w:styleId="Unterschrift">
    <w:name w:val="Signature"/>
    <w:basedOn w:val="Standard"/>
    <w:link w:val="UnterschriftZchn"/>
    <w:pPr>
      <w:ind w:left="4252"/>
    </w:pPr>
  </w:style>
  <w:style w:type="paragraph" w:styleId="Untertitel">
    <w:name w:val="Subtitle"/>
    <w:basedOn w:val="Standard"/>
    <w:link w:val="UntertitelZchn"/>
    <w:pPr>
      <w:spacing w:after="60"/>
      <w:jc w:val="center"/>
      <w:outlineLvl w:val="1"/>
    </w:pPr>
    <w:rPr>
      <w:rFonts w:cs="Arial"/>
    </w:rPr>
  </w:style>
  <w:style w:type="paragraph" w:customStyle="1" w:styleId="berschriftDeckblatt">
    <w:name w:val="Überschrift_Deckblatt"/>
    <w:basedOn w:val="Blocktext"/>
    <w:next w:val="Blocktext"/>
    <w:pPr>
      <w:framePr w:hSpace="180" w:wrap="around" w:hAnchor="page" w:x="3357" w:y="-446"/>
      <w:jc w:val="right"/>
    </w:pPr>
    <w:rPr>
      <w:color w:val="D0D3DA"/>
      <w:lang w:eastAsia="de-DE"/>
    </w:rPr>
  </w:style>
  <w:style w:type="paragraph" w:customStyle="1" w:styleId="berschriftInhaltsverzeichnis">
    <w:name w:val="Überschrift_Inhaltsverzeichnis"/>
    <w:basedOn w:val="berschrift1"/>
    <w:next w:val="Blocktext"/>
    <w:link w:val="berschriftInhaltsverzeichnisZchn"/>
    <w:pPr>
      <w:numPr>
        <w:numId w:val="0"/>
      </w:numPr>
      <w:outlineLvl w:val="9"/>
    </w:pPr>
  </w:style>
  <w:style w:type="character" w:customStyle="1" w:styleId="berschriftInhaltsverzeichnisZchn">
    <w:name w:val="Überschrift_Inhaltsverzeichnis Zchn"/>
    <w:basedOn w:val="berschrift1Zchn"/>
    <w:link w:val="berschriftInhaltsverzeichnis"/>
    <w:rPr>
      <w:rFonts w:ascii="Arial" w:eastAsia="Arial Unicode MS" w:hAnsi="Arial" w:cs="Arial"/>
      <w:b/>
      <w:bCs/>
      <w:kern w:val="32"/>
      <w:sz w:val="36"/>
      <w:szCs w:val="32"/>
      <w:lang w:eastAsia="ja-JP"/>
    </w:rPr>
  </w:style>
  <w:style w:type="character" w:styleId="Zeilennummer">
    <w:name w:val="line number"/>
    <w:basedOn w:val="Absatz-Standardschriftart"/>
  </w:style>
  <w:style w:type="paragraph" w:customStyle="1" w:styleId="berschrift1Nummerierung">
    <w:name w:val="Überschrift 1 Nummerierung"/>
    <w:basedOn w:val="Standard"/>
    <w:next w:val="Standard"/>
    <w:link w:val="berschrift1NummerierungZchn"/>
    <w:pPr>
      <w:keepNext/>
      <w:keepLines/>
      <w:spacing w:before="80" w:line="960" w:lineRule="exact"/>
      <w:jc w:val="right"/>
    </w:pPr>
    <w:rPr>
      <w:rFonts w:cs="Arial Unicode MS"/>
      <w:b/>
      <w:sz w:val="96"/>
      <w:lang w:val="en-US" w:eastAsia="de-DE"/>
    </w:rPr>
  </w:style>
  <w:style w:type="character" w:customStyle="1" w:styleId="berschrift1NummerierungZchn">
    <w:name w:val="Überschrift 1 Nummerierung Zchn"/>
    <w:basedOn w:val="Absatz-Standardschriftart"/>
    <w:link w:val="berschrift1Nummerierung"/>
    <w:rPr>
      <w:rFonts w:ascii="Arial" w:eastAsia="Arial Unicode MS" w:hAnsi="Arial" w:cs="Arial Unicode MS"/>
      <w:b/>
      <w:sz w:val="96"/>
      <w:szCs w:val="24"/>
      <w:lang w:val="en-US"/>
    </w:rPr>
  </w:style>
  <w:style w:type="paragraph" w:customStyle="1" w:styleId="h1heading1">
    <w:name w:val="h1_heading_1"/>
    <w:basedOn w:val="Standard"/>
    <w:pPr>
      <w:keepNext/>
      <w:keepLines/>
      <w:pageBreakBefore/>
      <w:numPr>
        <w:numId w:val="12"/>
      </w:numPr>
      <w:spacing w:before="80" w:line="240" w:lineRule="atLeast"/>
      <w:outlineLvl w:val="0"/>
    </w:pPr>
    <w:rPr>
      <w:rFonts w:ascii="Arial Unicode MS" w:hAnsi="Arial Unicode MS" w:cs="Arial Unicode MS"/>
      <w:b/>
      <w:sz w:val="36"/>
      <w:lang w:eastAsia="de-DE"/>
    </w:rPr>
  </w:style>
  <w:style w:type="paragraph" w:customStyle="1" w:styleId="h2heading2">
    <w:name w:val="h2_heading_2"/>
    <w:basedOn w:val="h1heading1"/>
    <w:next w:val="Standard"/>
    <w:pPr>
      <w:pageBreakBefore w:val="0"/>
      <w:numPr>
        <w:ilvl w:val="1"/>
      </w:numPr>
      <w:spacing w:before="720" w:after="120" w:line="192" w:lineRule="auto"/>
      <w:outlineLvl w:val="1"/>
    </w:pPr>
    <w:rPr>
      <w:sz w:val="28"/>
    </w:rPr>
  </w:style>
  <w:style w:type="paragraph" w:customStyle="1" w:styleId="h3heading3">
    <w:name w:val="h3_heading_3"/>
    <w:basedOn w:val="h2heading2"/>
    <w:next w:val="Standard"/>
    <w:pPr>
      <w:numPr>
        <w:ilvl w:val="2"/>
      </w:numPr>
      <w:spacing w:line="180" w:lineRule="auto"/>
      <w:outlineLvl w:val="2"/>
    </w:pPr>
    <w:rPr>
      <w:sz w:val="24"/>
    </w:rPr>
  </w:style>
  <w:style w:type="paragraph" w:customStyle="1" w:styleId="h4heading4">
    <w:name w:val="h4_heading_4"/>
    <w:basedOn w:val="h3heading3"/>
    <w:next w:val="Standard"/>
    <w:pPr>
      <w:numPr>
        <w:ilvl w:val="3"/>
      </w:numPr>
      <w:spacing w:before="480"/>
      <w:outlineLvl w:val="3"/>
    </w:pPr>
    <w:rPr>
      <w:sz w:val="22"/>
    </w:rPr>
  </w:style>
  <w:style w:type="paragraph" w:customStyle="1" w:styleId="hnheadingnumber">
    <w:name w:val="hn_heading_number"/>
    <w:basedOn w:val="Standard"/>
    <w:pPr>
      <w:keepNext/>
      <w:keepLines/>
      <w:spacing w:before="80" w:line="960" w:lineRule="exact"/>
      <w:jc w:val="right"/>
    </w:pPr>
    <w:rPr>
      <w:rFonts w:ascii="Arial Unicode MS" w:hAnsi="Arial Unicode MS" w:cs="Arial Unicode MS"/>
      <w:b/>
      <w:sz w:val="96"/>
      <w:lang w:eastAsia="de-DE"/>
    </w:rPr>
  </w:style>
  <w:style w:type="paragraph" w:customStyle="1" w:styleId="berschrift1Tabelle">
    <w:name w:val="Überschrift 1_Tabelle"/>
    <w:basedOn w:val="berschrift1"/>
    <w:pPr>
      <w:numPr>
        <w:numId w:val="0"/>
      </w:numPr>
    </w:pPr>
  </w:style>
  <w:style w:type="paragraph" w:customStyle="1" w:styleId="ApplIVZTabelleTitel">
    <w:name w:val="Appl_IVZTabelle_Titel"/>
    <w:basedOn w:val="Standard"/>
    <w:pPr>
      <w:spacing w:line="280" w:lineRule="exact"/>
    </w:pPr>
    <w:rPr>
      <w:rFonts w:cs="Arial Unicode MS"/>
      <w:b/>
      <w:sz w:val="24"/>
      <w:lang w:eastAsia="de-DE"/>
    </w:rPr>
  </w:style>
  <w:style w:type="paragraph" w:customStyle="1" w:styleId="ApplIVZTabelleNummer">
    <w:name w:val="Appl_IVZTabelle_Nummer"/>
    <w:pPr>
      <w:shd w:val="clear" w:color="auto" w:fill="D9D9D9"/>
      <w:spacing w:line="567" w:lineRule="exact"/>
      <w:ind w:left="-567" w:right="-567"/>
      <w:jc w:val="center"/>
    </w:pPr>
    <w:rPr>
      <w:rFonts w:ascii="Arial" w:eastAsia="Arial Unicode MS" w:hAnsi="Arial" w:cs="Arial Unicode MS"/>
      <w:b/>
      <w:sz w:val="40"/>
      <w:szCs w:val="24"/>
    </w:rPr>
  </w:style>
  <w:style w:type="character" w:styleId="Kommentarzeichen">
    <w:name w:val="annotation reference"/>
    <w:basedOn w:val="Absatz-Standardschriftart"/>
    <w:rPr>
      <w:sz w:val="16"/>
      <w:szCs w:val="16"/>
    </w:rPr>
  </w:style>
  <w:style w:type="character" w:styleId="Fett">
    <w:name w:val="Strong"/>
    <w:basedOn w:val="Absatz-Standardschriftart"/>
    <w:rPr>
      <w:b/>
      <w:bCs/>
    </w:rPr>
  </w:style>
  <w:style w:type="character" w:customStyle="1" w:styleId="BlocktitelZchn">
    <w:name w:val="Blocktitel Zchn"/>
    <w:basedOn w:val="BlocktextZchn"/>
    <w:rPr>
      <w:rFonts w:ascii="Arial" w:eastAsia="MS Mincho" w:hAnsi="Arial"/>
      <w:b/>
      <w:lang w:val="de-DE" w:eastAsia="en-US" w:bidi="ar-SA"/>
    </w:rPr>
  </w:style>
  <w:style w:type="paragraph" w:styleId="Textkrper">
    <w:name w:val="Body Text"/>
    <w:basedOn w:val="Standard"/>
    <w:link w:val="TextkrperZchn"/>
    <w:pPr>
      <w:spacing w:after="120"/>
    </w:pPr>
  </w:style>
  <w:style w:type="character" w:customStyle="1" w:styleId="TextkrperZchn">
    <w:name w:val="Textkörper Zchn"/>
    <w:basedOn w:val="Absatz-Standardschriftart"/>
    <w:link w:val="Textkrper"/>
    <w:rPr>
      <w:rFonts w:ascii="Arial" w:eastAsia="Arial Unicode MS" w:hAnsi="Arial"/>
      <w:szCs w:val="24"/>
      <w:lang w:eastAsia="ja-JP"/>
    </w:rPr>
  </w:style>
  <w:style w:type="paragraph" w:customStyle="1" w:styleId="Formatvorlage1">
    <w:name w:val="Formatvorlage1"/>
    <w:basedOn w:val="Standard"/>
  </w:style>
  <w:style w:type="paragraph" w:customStyle="1" w:styleId="p">
    <w:name w:val="p"/>
    <w:link w:val="pZchn"/>
    <w:pPr>
      <w:spacing w:before="80" w:after="80" w:line="156" w:lineRule="auto"/>
    </w:pPr>
    <w:rPr>
      <w:rFonts w:ascii="Arial Unicode MS" w:eastAsia="Arial Unicode MS" w:hAnsi="Arial Unicode MS" w:cs="Arial Unicode MS"/>
      <w:szCs w:val="24"/>
    </w:rPr>
  </w:style>
  <w:style w:type="character" w:customStyle="1" w:styleId="pZchn">
    <w:name w:val="p Zchn"/>
    <w:basedOn w:val="Absatz-Standardschriftart"/>
    <w:link w:val="p"/>
    <w:locked/>
    <w:rPr>
      <w:rFonts w:ascii="Arial Unicode MS" w:eastAsia="Arial Unicode MS" w:hAnsi="Arial Unicode MS" w:cs="Arial Unicode MS"/>
      <w:szCs w:val="24"/>
    </w:rPr>
  </w:style>
  <w:style w:type="paragraph" w:customStyle="1" w:styleId="ol1">
    <w:name w:val="ol_1"/>
    <w:basedOn w:val="p"/>
    <w:pPr>
      <w:tabs>
        <w:tab w:val="num" w:pos="990"/>
        <w:tab w:val="num" w:pos="1209"/>
      </w:tabs>
      <w:ind w:left="990" w:hanging="360"/>
    </w:pPr>
  </w:style>
  <w:style w:type="paragraph" w:customStyle="1" w:styleId="ppg1chTitle">
    <w:name w:val="p_pg1_chTitle"/>
    <w:basedOn w:val="p"/>
    <w:next w:val="p"/>
    <w:pPr>
      <w:tabs>
        <w:tab w:val="num" w:pos="1044"/>
      </w:tabs>
      <w:spacing w:before="0" w:after="0" w:line="280" w:lineRule="exact"/>
      <w:ind w:left="1041" w:hanging="357"/>
    </w:pPr>
    <w:rPr>
      <w:b/>
      <w:sz w:val="24"/>
    </w:rPr>
  </w:style>
  <w:style w:type="paragraph" w:customStyle="1" w:styleId="ppg1chNumber">
    <w:name w:val="p_pg1_chNumber"/>
    <w:basedOn w:val="p"/>
    <w:pPr>
      <w:shd w:val="clear" w:color="auto" w:fill="D9D9D9"/>
      <w:tabs>
        <w:tab w:val="num" w:pos="1044"/>
      </w:tabs>
      <w:spacing w:before="0" w:after="0" w:line="567" w:lineRule="exact"/>
      <w:ind w:left="-567" w:right="-567" w:hanging="357"/>
      <w:jc w:val="center"/>
    </w:pPr>
    <w:rPr>
      <w:b/>
      <w:sz w:val="40"/>
    </w:rPr>
  </w:style>
  <w:style w:type="character" w:customStyle="1" w:styleId="KommentartextZchn">
    <w:name w:val="Kommentartext Zchn"/>
    <w:basedOn w:val="Absatz-Standardschriftart"/>
    <w:link w:val="Kommentartext"/>
    <w:rPr>
      <w:rFonts w:ascii="Arial" w:eastAsia="Arial Unicode MS" w:hAnsi="Arial"/>
      <w:lang w:eastAsia="ja-JP"/>
    </w:rPr>
  </w:style>
  <w:style w:type="character" w:customStyle="1" w:styleId="KommentarthemaZchn">
    <w:name w:val="Kommentarthema Zchn"/>
    <w:basedOn w:val="KommentartextZchn"/>
    <w:link w:val="Kommentarthema"/>
    <w:rPr>
      <w:rFonts w:ascii="Arial" w:eastAsia="Arial Unicode MS" w:hAnsi="Arial"/>
      <w:b/>
      <w:bCs/>
      <w:lang w:eastAsia="ja-JP"/>
    </w:rPr>
  </w:style>
  <w:style w:type="character" w:customStyle="1" w:styleId="FunotentextZchn">
    <w:name w:val="Fußnotentext Zchn"/>
    <w:basedOn w:val="Absatz-Standardschriftart"/>
    <w:link w:val="Funotentext"/>
    <w:rPr>
      <w:rFonts w:ascii="Arial" w:eastAsia="Arial Unicode MS" w:hAnsi="Arial"/>
      <w:lang w:eastAsia="ja-JP"/>
    </w:rPr>
  </w:style>
  <w:style w:type="character" w:styleId="Funotenzeichen">
    <w:name w:val="footnote reference"/>
    <w:basedOn w:val="Absatz-Standardschriftart"/>
    <w:rPr>
      <w:vertAlign w:val="superscript"/>
    </w:rPr>
  </w:style>
  <w:style w:type="character" w:customStyle="1" w:styleId="DeckblattTitel">
    <w:name w:val="Deckblatt Titel"/>
    <w:rPr>
      <w:rFonts w:ascii="Siemens Serif Semibold" w:hAnsi="Siemens Serif Semibold"/>
      <w:sz w:val="44"/>
    </w:rPr>
  </w:style>
  <w:style w:type="character" w:customStyle="1" w:styleId="DeckblattDokutyp">
    <w:name w:val="Deckblatt Dokutyp"/>
    <w:basedOn w:val="Absatz-Standardschriftart"/>
    <w:rPr>
      <w:rFonts w:ascii="Siemens Sans" w:hAnsi="Siemens Sans"/>
      <w:b/>
      <w:bCs/>
      <w:color w:val="003399"/>
      <w:sz w:val="30"/>
    </w:rPr>
  </w:style>
  <w:style w:type="paragraph" w:customStyle="1" w:styleId="DeckblattProduktnameAnwendung">
    <w:name w:val="Deckblatt Produktname/Anwendung"/>
    <w:basedOn w:val="Standard"/>
    <w:pPr>
      <w:spacing w:after="300"/>
    </w:pPr>
    <w:rPr>
      <w:rFonts w:ascii="Siemens Sans" w:eastAsia="Times New Roman" w:hAnsi="Siemens Sans"/>
      <w:b/>
      <w:bCs/>
      <w:sz w:val="30"/>
      <w:szCs w:val="20"/>
    </w:rPr>
  </w:style>
  <w:style w:type="paragraph" w:customStyle="1" w:styleId="HinweisTitel">
    <w:name w:val="Hinweis Titel"/>
    <w:next w:val="Blocktext"/>
    <w:pPr>
      <w:spacing w:before="120" w:after="120"/>
      <w:jc w:val="center"/>
    </w:pPr>
    <w:rPr>
      <w:rFonts w:ascii="Arial" w:hAnsi="Arial"/>
      <w:b/>
      <w:bCs/>
      <w:lang w:eastAsia="ja-JP"/>
    </w:rPr>
  </w:style>
  <w:style w:type="paragraph" w:customStyle="1" w:styleId="Subhead115pt">
    <w:name w:val="_Subhead 1 15pt"/>
    <w:basedOn w:val="Standard"/>
    <w:pPr>
      <w:spacing w:after="425" w:line="369" w:lineRule="exact"/>
      <w:ind w:right="680"/>
    </w:pPr>
    <w:rPr>
      <w:rFonts w:ascii="Siemens Sans" w:eastAsia="Times New Roman" w:hAnsi="Siemens Sans"/>
      <w:b/>
      <w:color w:val="FFFFFF"/>
      <w:spacing w:val="2"/>
      <w:kern w:val="10"/>
      <w:sz w:val="30"/>
      <w:szCs w:val="30"/>
      <w:lang w:eastAsia="de-DE"/>
    </w:rPr>
  </w:style>
  <w:style w:type="paragraph" w:customStyle="1" w:styleId="URLKeyword">
    <w:name w:val="_URL_Keyword"/>
    <w:basedOn w:val="Standard"/>
    <w:pPr>
      <w:spacing w:line="260" w:lineRule="atLeast"/>
      <w:ind w:right="680"/>
    </w:pPr>
    <w:rPr>
      <w:rFonts w:ascii="Siemens Sans" w:eastAsia="Times New Roman" w:hAnsi="Siemens Sans"/>
      <w:b/>
      <w:color w:val="FFFFFF"/>
      <w:spacing w:val="1"/>
      <w:kern w:val="8"/>
      <w:sz w:val="26"/>
      <w:szCs w:val="36"/>
      <w:lang w:eastAsia="de-DE"/>
    </w:rPr>
  </w:style>
  <w:style w:type="paragraph" w:customStyle="1" w:styleId="Headline136pt">
    <w:name w:val="_Headline 1 36pt"/>
    <w:basedOn w:val="Blocktext"/>
    <w:pPr>
      <w:spacing w:before="196" w:after="160" w:line="851" w:lineRule="exact"/>
      <w:ind w:left="0" w:right="680"/>
    </w:pPr>
    <w:rPr>
      <w:rFonts w:ascii="Siemens Serif Semibold" w:eastAsia="Times New Roman" w:hAnsi="Siemens Serif Semibold"/>
      <w:b/>
      <w:color w:val="FFFFFF" w:themeColor="background1"/>
      <w:spacing w:val="-2"/>
      <w:kern w:val="10"/>
      <w:sz w:val="72"/>
      <w:szCs w:val="72"/>
      <w:lang w:eastAsia="de-DE"/>
    </w:rPr>
  </w:style>
  <w:style w:type="paragraph" w:customStyle="1" w:styleId="URLSectorClaim">
    <w:name w:val="_URL_Sector_Claim"/>
    <w:basedOn w:val="Standard"/>
    <w:pPr>
      <w:framePr w:w="9752" w:h="510" w:hRule="exact" w:wrap="around" w:vAnchor="page" w:hAnchor="text" w:y="15849" w:anchorLock="1"/>
      <w:spacing w:line="312" w:lineRule="atLeast"/>
      <w:jc w:val="right"/>
    </w:pPr>
    <w:rPr>
      <w:rFonts w:ascii="Siemens Sans" w:eastAsia="Times New Roman" w:hAnsi="Siemens Sans"/>
      <w:b/>
      <w:spacing w:val="1"/>
      <w:kern w:val="8"/>
      <w:sz w:val="26"/>
      <w:szCs w:val="36"/>
      <w:lang w:eastAsia="de-DE"/>
    </w:rPr>
  </w:style>
  <w:style w:type="character" w:customStyle="1" w:styleId="FuzeileZchn">
    <w:name w:val="Fußzeile Zchn"/>
    <w:basedOn w:val="Absatz-Standardschriftart"/>
    <w:link w:val="Fuzeile"/>
    <w:uiPriority w:val="99"/>
    <w:rPr>
      <w:rFonts w:ascii="Arial" w:eastAsia="Arial Unicode MS" w:hAnsi="Arial"/>
      <w:sz w:val="16"/>
      <w:szCs w:val="24"/>
      <w:lang w:eastAsia="ja-JP"/>
    </w:rPr>
  </w:style>
  <w:style w:type="character" w:styleId="Hervorhebung">
    <w:name w:val="Emphasis"/>
    <w:basedOn w:val="Absatz-Standardschriftart"/>
    <w:rPr>
      <w:i/>
      <w:iCs/>
    </w:rPr>
  </w:style>
  <w:style w:type="paragraph" w:customStyle="1" w:styleId="NummerierteListe2">
    <w:name w:val="NummerierteListe2"/>
    <w:basedOn w:val="NummerierteListe"/>
    <w:pPr>
      <w:numPr>
        <w:numId w:val="14"/>
      </w:numPr>
    </w:pPr>
  </w:style>
  <w:style w:type="paragraph" w:customStyle="1" w:styleId="TabelleNummerierteListe2">
    <w:name w:val="Tabelle_NummerierteListe2"/>
    <w:basedOn w:val="TabelleNummerierteListe"/>
    <w:pPr>
      <w:numPr>
        <w:numId w:val="15"/>
      </w:numPr>
    </w:pPr>
  </w:style>
  <w:style w:type="character" w:customStyle="1" w:styleId="BlocktextZchn">
    <w:name w:val="Blocktext Zchn"/>
    <w:basedOn w:val="Absatz-Standardschriftart"/>
    <w:link w:val="Blocktext"/>
    <w:rPr>
      <w:rFonts w:ascii="Arial" w:eastAsia="Arial Unicode MS" w:hAnsi="Arial"/>
      <w:lang w:eastAsia="en-US"/>
    </w:rPr>
  </w:style>
  <w:style w:type="paragraph" w:customStyle="1" w:styleId="Code">
    <w:name w:val="Code"/>
    <w:basedOn w:val="Blocktext"/>
    <w:link w:val="CodeZchn"/>
    <w:pPr>
      <w:shd w:val="clear" w:color="auto" w:fill="D9D9D9"/>
    </w:pPr>
    <w:rPr>
      <w:rFonts w:ascii="Courier New" w:hAnsi="Courier New"/>
      <w:sz w:val="18"/>
    </w:rPr>
  </w:style>
  <w:style w:type="character" w:customStyle="1" w:styleId="CodeZchn">
    <w:name w:val="Code Zchn"/>
    <w:basedOn w:val="Absatz-Standardschriftart"/>
    <w:link w:val="Code"/>
    <w:rPr>
      <w:rFonts w:ascii="Courier New" w:eastAsia="Arial Unicode MS" w:hAnsi="Courier New"/>
      <w:sz w:val="18"/>
      <w:shd w:val="clear" w:color="auto" w:fill="D9D9D9"/>
      <w:lang w:eastAsia="en-US"/>
    </w:rPr>
  </w:style>
  <w:style w:type="paragraph" w:customStyle="1" w:styleId="TabellenBeschriftungListenbreite1">
    <w:name w:val="TabellenBeschriftung_Listenbreite1"/>
    <w:basedOn w:val="TabellenBeschriftungTextBreite"/>
    <w:uiPriority w:val="3"/>
    <w:pPr>
      <w:ind w:left="1491" w:firstLine="0"/>
    </w:pPr>
  </w:style>
  <w:style w:type="paragraph" w:customStyle="1" w:styleId="TabellenBeschriftungListenbreite2">
    <w:name w:val="TabellenBeschriftung_Listenbreite2"/>
    <w:basedOn w:val="TabellenBeschriftungTextBreite"/>
    <w:uiPriority w:val="3"/>
    <w:pPr>
      <w:ind w:left="1848" w:firstLine="0"/>
    </w:pPr>
  </w:style>
  <w:style w:type="paragraph" w:customStyle="1" w:styleId="BildBeschriftungListenbreite1">
    <w:name w:val="BildBeschriftung_Listenbreite1"/>
    <w:basedOn w:val="BildBeschriftungtextBreite"/>
    <w:uiPriority w:val="2"/>
    <w:pPr>
      <w:ind w:left="1491" w:firstLine="0"/>
    </w:pPr>
  </w:style>
  <w:style w:type="paragraph" w:customStyle="1" w:styleId="BildBeschriftungListenbreite2">
    <w:name w:val="BildBeschriftung_Listenbreite2"/>
    <w:basedOn w:val="BildBeschriftungtextBreite"/>
    <w:uiPriority w:val="2"/>
    <w:pPr>
      <w:ind w:left="1848" w:firstLine="0"/>
    </w:pPr>
  </w:style>
  <w:style w:type="paragraph" w:customStyle="1" w:styleId="TabelleAutoNummerierung">
    <w:name w:val="Tabelle_AutoNummerierung"/>
    <w:basedOn w:val="TabelleTextlinks"/>
    <w:uiPriority w:val="99"/>
    <w:pPr>
      <w:numPr>
        <w:numId w:val="18"/>
      </w:numPr>
      <w:tabs>
        <w:tab w:val="clear" w:pos="567"/>
      </w:tabs>
    </w:pPr>
  </w:style>
  <w:style w:type="table" w:customStyle="1" w:styleId="Tabellenraster1">
    <w:name w:val="Tabellenraster1"/>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redeZchn">
    <w:name w:val="Anrede Zchn"/>
    <w:basedOn w:val="Absatz-Standardschriftart"/>
    <w:link w:val="Anrede"/>
    <w:rPr>
      <w:rFonts w:ascii="Arial" w:eastAsia="Arial Unicode MS" w:hAnsi="Arial"/>
      <w:szCs w:val="24"/>
      <w:lang w:eastAsia="ja-JP"/>
    </w:rPr>
  </w:style>
  <w:style w:type="character" w:customStyle="1" w:styleId="DatumZchn">
    <w:name w:val="Datum Zchn"/>
    <w:basedOn w:val="Absatz-Standardschriftart"/>
    <w:link w:val="Datum"/>
    <w:rPr>
      <w:rFonts w:ascii="Arial" w:eastAsia="Arial Unicode MS" w:hAnsi="Arial"/>
      <w:szCs w:val="24"/>
      <w:lang w:eastAsia="ja-JP"/>
    </w:rPr>
  </w:style>
  <w:style w:type="character" w:customStyle="1" w:styleId="E-Mail-SignaturZchn">
    <w:name w:val="E-Mail-Signatur Zchn"/>
    <w:basedOn w:val="Absatz-Standardschriftart"/>
    <w:link w:val="E-Mail-Signatur"/>
    <w:rPr>
      <w:rFonts w:ascii="Arial" w:eastAsia="Arial Unicode MS" w:hAnsi="Arial"/>
      <w:szCs w:val="24"/>
      <w:lang w:eastAsia="ja-JP"/>
    </w:rPr>
  </w:style>
  <w:style w:type="character" w:customStyle="1" w:styleId="EndnotentextZchn">
    <w:name w:val="Endnotentext Zchn"/>
    <w:basedOn w:val="Absatz-Standardschriftart"/>
    <w:link w:val="Endnotentext"/>
    <w:rPr>
      <w:rFonts w:ascii="Arial" w:eastAsia="Arial Unicode MS" w:hAnsi="Arial"/>
      <w:lang w:eastAsia="ja-JP"/>
    </w:rPr>
  </w:style>
  <w:style w:type="character" w:customStyle="1" w:styleId="Fu-EndnotenberschriftZchn">
    <w:name w:val="Fuß/-Endnotenüberschrift Zchn"/>
    <w:basedOn w:val="Absatz-Standardschriftart"/>
    <w:link w:val="Fu-Endnotenberschrift"/>
    <w:rPr>
      <w:rFonts w:ascii="Arial" w:eastAsia="Arial Unicode MS" w:hAnsi="Arial"/>
      <w:szCs w:val="24"/>
      <w:lang w:eastAsia="ja-JP"/>
    </w:rPr>
  </w:style>
  <w:style w:type="character" w:customStyle="1" w:styleId="GruformelZchn">
    <w:name w:val="Grußformel Zchn"/>
    <w:basedOn w:val="Absatz-Standardschriftart"/>
    <w:link w:val="Gruformel"/>
    <w:rPr>
      <w:rFonts w:ascii="Arial" w:eastAsia="Arial Unicode MS" w:hAnsi="Arial"/>
      <w:szCs w:val="24"/>
      <w:lang w:eastAsia="ja-JP"/>
    </w:rPr>
  </w:style>
  <w:style w:type="character" w:customStyle="1" w:styleId="HTMLAdresseZchn">
    <w:name w:val="HTML Adresse Zchn"/>
    <w:basedOn w:val="Absatz-Standardschriftart"/>
    <w:link w:val="HTMLAdresse"/>
    <w:rPr>
      <w:rFonts w:ascii="Arial" w:eastAsia="Arial Unicode MS" w:hAnsi="Arial"/>
      <w:i/>
      <w:iCs/>
      <w:szCs w:val="24"/>
      <w:lang w:eastAsia="ja-JP"/>
    </w:rPr>
  </w:style>
  <w:style w:type="character" w:customStyle="1" w:styleId="HTMLVorformatiertZchn">
    <w:name w:val="HTML Vorformatiert Zchn"/>
    <w:basedOn w:val="Absatz-Standardschriftart"/>
    <w:link w:val="HTMLVorformatiert"/>
    <w:rPr>
      <w:rFonts w:ascii="Courier New" w:eastAsia="Arial Unicode MS" w:hAnsi="Courier New" w:cs="Courier New"/>
      <w:lang w:eastAsia="ja-JP"/>
    </w:rPr>
  </w:style>
  <w:style w:type="character" w:customStyle="1" w:styleId="MakrotextZchn">
    <w:name w:val="Makrotext Zchn"/>
    <w:basedOn w:val="Absatz-Standardschriftart"/>
    <w:link w:val="Makrotext"/>
    <w:rPr>
      <w:rFonts w:ascii="Courier New" w:eastAsia="MS Mincho" w:hAnsi="Courier New" w:cs="Courier New"/>
      <w:lang w:eastAsia="ja-JP"/>
    </w:rPr>
  </w:style>
  <w:style w:type="character" w:customStyle="1" w:styleId="NachrichtenkopfZchn">
    <w:name w:val="Nachrichtenkopf Zchn"/>
    <w:basedOn w:val="Absatz-Standardschriftart"/>
    <w:link w:val="Nachrichtenkopf"/>
    <w:rPr>
      <w:rFonts w:ascii="Arial" w:eastAsia="Arial Unicode MS" w:hAnsi="Arial" w:cs="Arial"/>
      <w:szCs w:val="24"/>
      <w:shd w:val="pct20" w:color="auto" w:fill="auto"/>
      <w:lang w:eastAsia="ja-JP"/>
    </w:rPr>
  </w:style>
  <w:style w:type="character" w:customStyle="1" w:styleId="UnterschriftZchn">
    <w:name w:val="Unterschrift Zchn"/>
    <w:basedOn w:val="Absatz-Standardschriftart"/>
    <w:link w:val="Unterschrift"/>
    <w:rPr>
      <w:rFonts w:ascii="Arial" w:eastAsia="Arial Unicode MS" w:hAnsi="Arial"/>
      <w:szCs w:val="24"/>
      <w:lang w:eastAsia="ja-JP"/>
    </w:rPr>
  </w:style>
  <w:style w:type="character" w:customStyle="1" w:styleId="UntertitelZchn">
    <w:name w:val="Untertitel Zchn"/>
    <w:basedOn w:val="Absatz-Standardschriftart"/>
    <w:link w:val="Untertitel"/>
    <w:rPr>
      <w:rFonts w:ascii="Arial" w:eastAsia="Arial Unicode MS" w:hAnsi="Arial" w:cs="Arial"/>
      <w:szCs w:val="24"/>
      <w:lang w:eastAsia="ja-JP"/>
    </w:rPr>
  </w:style>
  <w:style w:type="table" w:customStyle="1" w:styleId="Tabellenraster2">
    <w:name w:val="Tabellenraster2"/>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pPr>
      <w:ind w:left="720"/>
      <w:contextualSpacing/>
    </w:pPr>
    <w:rPr>
      <w:rFonts w:ascii="Times New Roman" w:eastAsiaTheme="minorEastAsia" w:hAnsi="Times New Roman"/>
      <w:sz w:val="24"/>
      <w:lang w:eastAsia="de-DE"/>
    </w:rPr>
  </w:style>
  <w:style w:type="character" w:customStyle="1" w:styleId="BlocktextZchn2">
    <w:name w:val="Blocktext Zchn2"/>
    <w:aliases w:val=" Char Zchn1"/>
    <w:rPr>
      <w:rFonts w:ascii="Arial" w:eastAsia="Arial Unicode MS" w:hAnsi="Arial"/>
      <w:lang w:eastAsia="en-US"/>
    </w:rPr>
  </w:style>
  <w:style w:type="character" w:customStyle="1" w:styleId="csppcontentattrvalue">
    <w:name w:val="csppcontentattrvalue"/>
  </w:style>
  <w:style w:type="table" w:customStyle="1" w:styleId="Tabellenraster4">
    <w:name w:val="Tabellenraster4"/>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titelALT">
    <w:name w:val="BlocktitelALT"/>
    <w:basedOn w:val="Blocktext"/>
    <w:next w:val="Blocktext"/>
    <w:uiPriority w:val="99"/>
    <w:semiHidden/>
    <w:pPr>
      <w:keepNext/>
      <w:keepLines/>
      <w:tabs>
        <w:tab w:val="left" w:pos="1134"/>
      </w:tabs>
      <w:spacing w:before="240" w:after="100" w:line="240" w:lineRule="atLeast"/>
      <w:ind w:left="0"/>
    </w:pPr>
    <w:rPr>
      <w:b/>
    </w:rPr>
  </w:style>
  <w:style w:type="paragraph" w:customStyle="1" w:styleId="BulletText1">
    <w:name w:val="Bullet_Text1"/>
    <w:basedOn w:val="Blocktext"/>
    <w:pPr>
      <w:numPr>
        <w:numId w:val="2"/>
      </w:numPr>
      <w:tabs>
        <w:tab w:val="left" w:pos="1491"/>
      </w:tabs>
      <w:ind w:left="1491"/>
    </w:pPr>
  </w:style>
  <w:style w:type="paragraph" w:customStyle="1" w:styleId="Headline130pt">
    <w:name w:val="_Headline 1 30pt"/>
    <w:basedOn w:val="Blocktext"/>
    <w:pPr>
      <w:spacing w:before="196" w:after="160" w:line="737" w:lineRule="exact"/>
      <w:ind w:left="0" w:right="680"/>
    </w:pPr>
    <w:rPr>
      <w:rFonts w:ascii="Siemens Serif Semibold" w:eastAsia="Times New Roman" w:hAnsi="Siemens Serif Semibold"/>
      <w:b/>
      <w:color w:val="FFFFFF" w:themeColor="background1"/>
      <w:spacing w:val="-1"/>
      <w:kern w:val="10"/>
      <w:sz w:val="60"/>
      <w:szCs w:val="60"/>
      <w:lang w:eastAsia="de-DE"/>
    </w:rPr>
  </w:style>
  <w:style w:type="paragraph" w:customStyle="1" w:styleId="Headline144pt">
    <w:name w:val="_Headline 1 44pt"/>
    <w:basedOn w:val="Standard"/>
    <w:pPr>
      <w:spacing w:before="196" w:after="160" w:line="1021" w:lineRule="exact"/>
      <w:ind w:right="680"/>
    </w:pPr>
    <w:rPr>
      <w:rFonts w:ascii="Siemens Serif Semibold" w:eastAsia="Times New Roman" w:hAnsi="Siemens Serif Semibold"/>
      <w:b/>
      <w:color w:val="FFFFFF"/>
      <w:spacing w:val="-3"/>
      <w:kern w:val="10"/>
      <w:sz w:val="88"/>
      <w:szCs w:val="88"/>
      <w:lang w:eastAsia="de-DE"/>
    </w:rPr>
  </w:style>
  <w:style w:type="paragraph" w:customStyle="1" w:styleId="Subhead113pt">
    <w:name w:val="_Subhead 1 13pt"/>
    <w:basedOn w:val="Standard"/>
    <w:pPr>
      <w:spacing w:after="425" w:line="312" w:lineRule="exact"/>
      <w:ind w:right="680"/>
    </w:pPr>
    <w:rPr>
      <w:rFonts w:ascii="Siemens Sans" w:eastAsia="Times New Roman" w:hAnsi="Siemens Sans"/>
      <w:b/>
      <w:color w:val="FFFFFF"/>
      <w:spacing w:val="2"/>
      <w:kern w:val="10"/>
      <w:sz w:val="26"/>
      <w:szCs w:val="30"/>
      <w:lang w:eastAsia="de-DE"/>
    </w:rPr>
  </w:style>
  <w:style w:type="paragraph" w:customStyle="1" w:styleId="Subhead118pt">
    <w:name w:val="_Subhead 1 18pt"/>
    <w:basedOn w:val="Standard"/>
    <w:pPr>
      <w:spacing w:after="425" w:line="425" w:lineRule="exact"/>
      <w:ind w:right="680"/>
    </w:pPr>
    <w:rPr>
      <w:rFonts w:ascii="Siemens Sans" w:eastAsia="Times New Roman" w:hAnsi="Siemens Sans"/>
      <w:b/>
      <w:color w:val="FFFFFF"/>
      <w:spacing w:val="1"/>
      <w:kern w:val="10"/>
      <w:sz w:val="36"/>
      <w:szCs w:val="36"/>
      <w:lang w:eastAsia="de-DE"/>
    </w:rPr>
  </w:style>
  <w:style w:type="character" w:customStyle="1" w:styleId="DokumentstrukturZchn">
    <w:name w:val="Dokumentstruktur Zchn"/>
    <w:basedOn w:val="Absatz-Standardschriftart"/>
    <w:link w:val="Dokumentstruktur"/>
    <w:semiHidden/>
    <w:rPr>
      <w:rFonts w:ascii="Tahoma" w:eastAsia="Arial Unicode MS" w:hAnsi="Tahoma" w:cs="Tahoma"/>
      <w:shd w:val="clear" w:color="auto" w:fill="000080"/>
      <w:lang w:eastAsia="ja-JP"/>
    </w:rPr>
  </w:style>
  <w:style w:type="character" w:customStyle="1" w:styleId="KopfzeileZchn">
    <w:name w:val="Kopfzeile Zchn"/>
    <w:aliases w:val="Kopfzeile 1 Zchn,Kopfzeile Zeile 1 Zchn"/>
    <w:basedOn w:val="Absatz-Standardschriftart"/>
    <w:link w:val="Kopfzeile"/>
    <w:rPr>
      <w:rFonts w:ascii="Arial" w:eastAsia="Arial Unicode MS" w:hAnsi="Arial"/>
      <w:szCs w:val="24"/>
      <w:lang w:eastAsia="ja-JP"/>
    </w:rPr>
  </w:style>
  <w:style w:type="character" w:customStyle="1" w:styleId="TitelZchn">
    <w:name w:val="Titel Zchn"/>
    <w:basedOn w:val="Absatz-Standardschriftart"/>
    <w:link w:val="Titel"/>
    <w:rPr>
      <w:rFonts w:ascii="Arial" w:eastAsia="Arial Unicode MS" w:hAnsi="Arial" w:cs="Arial"/>
      <w:b/>
      <w:bCs/>
      <w:kern w:val="28"/>
      <w:sz w:val="32"/>
      <w:szCs w:val="32"/>
      <w:lang w:eastAsia="ja-JP"/>
    </w:rPr>
  </w:style>
  <w:style w:type="character" w:customStyle="1" w:styleId="SprechblasentextZchn">
    <w:name w:val="Sprechblasentext Zchn"/>
    <w:basedOn w:val="Absatz-Standardschriftart"/>
    <w:link w:val="Sprechblasentext"/>
    <w:semiHidden/>
    <w:rPr>
      <w:rFonts w:ascii="Tahoma" w:eastAsia="Arial Unicode MS" w:hAnsi="Tahoma" w:cs="Tahoma"/>
      <w:sz w:val="16"/>
      <w:szCs w:val="16"/>
      <w:lang w:eastAsia="ja-JP"/>
    </w:rPr>
  </w:style>
  <w:style w:type="character" w:customStyle="1" w:styleId="berschrift2Zchn">
    <w:name w:val="Überschrift 2 Zchn"/>
    <w:basedOn w:val="Absatz-Standardschriftart"/>
    <w:link w:val="berschrift2"/>
    <w:rPr>
      <w:rFonts w:ascii="Arial" w:eastAsia="Arial Unicode MS" w:hAnsi="Arial" w:cs="Arial"/>
      <w:b/>
      <w:bCs/>
      <w:iCs/>
      <w:sz w:val="28"/>
      <w:szCs w:val="28"/>
      <w:lang w:eastAsia="ja-JP"/>
    </w:rPr>
  </w:style>
  <w:style w:type="character" w:customStyle="1" w:styleId="berschrift3Zchn">
    <w:name w:val="Überschrift 3 Zchn"/>
    <w:basedOn w:val="Absatz-Standardschriftart"/>
    <w:link w:val="berschrift3"/>
    <w:rPr>
      <w:rFonts w:ascii="Arial" w:eastAsia="Arial Unicode MS" w:hAnsi="Arial" w:cs="Arial"/>
      <w:b/>
      <w:bCs/>
      <w:sz w:val="22"/>
      <w:szCs w:val="26"/>
      <w:lang w:eastAsia="ja-JP"/>
    </w:rPr>
  </w:style>
  <w:style w:type="character" w:customStyle="1" w:styleId="berschrift4Zchn">
    <w:name w:val="Überschrift 4 Zchn"/>
    <w:basedOn w:val="Absatz-Standardschriftart"/>
    <w:link w:val="berschrift4"/>
    <w:rPr>
      <w:rFonts w:ascii="Arial" w:eastAsia="Arial Unicode MS" w:hAnsi="Arial" w:cs="Arial"/>
      <w:sz w:val="22"/>
      <w:szCs w:val="28"/>
      <w:lang w:eastAsia="ja-JP"/>
    </w:rPr>
  </w:style>
  <w:style w:type="character" w:customStyle="1" w:styleId="berschrift5Zchn">
    <w:name w:val="Überschrift 5 Zchn"/>
    <w:basedOn w:val="Absatz-Standardschriftart"/>
    <w:link w:val="berschrift5"/>
    <w:rPr>
      <w:rFonts w:ascii="Arial" w:eastAsia="Arial Unicode MS" w:hAnsi="Arial" w:cs="Arial"/>
      <w:iCs/>
      <w:sz w:val="22"/>
      <w:szCs w:val="26"/>
      <w:lang w:eastAsia="ja-JP"/>
    </w:rPr>
  </w:style>
  <w:style w:type="character" w:customStyle="1" w:styleId="berschrift6Zchn">
    <w:name w:val="Überschrift 6 Zchn"/>
    <w:basedOn w:val="Absatz-Standardschriftart"/>
    <w:link w:val="berschrift6"/>
    <w:rPr>
      <w:rFonts w:ascii="Arial" w:eastAsia="Arial Unicode MS" w:hAnsi="Arial" w:cs="Arial"/>
      <w:sz w:val="22"/>
      <w:szCs w:val="22"/>
      <w:lang w:eastAsia="ja-JP"/>
    </w:rPr>
  </w:style>
  <w:style w:type="character" w:customStyle="1" w:styleId="berschrift7Zchn">
    <w:name w:val="Überschrift 7 Zchn"/>
    <w:basedOn w:val="Absatz-Standardschriftart"/>
    <w:link w:val="berschrift7"/>
    <w:rPr>
      <w:rFonts w:ascii="Arial" w:eastAsia="Arial Unicode MS" w:hAnsi="Arial" w:cs="Arial"/>
      <w:bCs/>
      <w:sz w:val="22"/>
      <w:szCs w:val="26"/>
      <w:lang w:eastAsia="ja-JP"/>
    </w:rPr>
  </w:style>
  <w:style w:type="character" w:customStyle="1" w:styleId="berschrift8Zchn">
    <w:name w:val="Überschrift 8 Zchn"/>
    <w:basedOn w:val="Absatz-Standardschriftart"/>
    <w:link w:val="berschrift8"/>
    <w:rPr>
      <w:rFonts w:ascii="Arial" w:eastAsia="Arial Unicode MS" w:hAnsi="Arial" w:cs="Arial"/>
      <w:bCs/>
      <w:iCs/>
      <w:sz w:val="22"/>
      <w:szCs w:val="26"/>
      <w:lang w:eastAsia="ja-JP"/>
    </w:rPr>
  </w:style>
  <w:style w:type="character" w:customStyle="1" w:styleId="berschrift9Zchn">
    <w:name w:val="Überschrift 9 Zchn"/>
    <w:aliases w:val="Blocktitel_in_PDF_IVZ_und_linkfaehig Zchn"/>
    <w:basedOn w:val="Absatz-Standardschriftart"/>
    <w:link w:val="berschrift9"/>
    <w:rPr>
      <w:rFonts w:ascii="Arial" w:eastAsia="Arial Unicode MS" w:hAnsi="Arial"/>
      <w:b/>
      <w:szCs w:val="22"/>
      <w:lang w:eastAsia="en-US"/>
    </w:rPr>
  </w:style>
  <w:style w:type="paragraph" w:customStyle="1" w:styleId="HeadlineV526pt">
    <w:name w:val="_Headline V5 26pt"/>
    <w:basedOn w:val="Blocktext"/>
    <w:next w:val="Blocktext"/>
    <w:pPr>
      <w:spacing w:before="196"/>
      <w:ind w:left="0"/>
      <w:contextualSpacing/>
    </w:pPr>
    <w:rPr>
      <w:rFonts w:ascii="Siemens Sans Black" w:eastAsia="Times New Roman" w:hAnsi="Siemens Sans Black"/>
      <w:color w:val="FFFFFF" w:themeColor="background1"/>
      <w:spacing w:val="-1"/>
      <w:kern w:val="10"/>
      <w:sz w:val="52"/>
      <w:szCs w:val="60"/>
      <w:lang w:val="en-US" w:eastAsia="de-DE"/>
    </w:rPr>
  </w:style>
  <w:style w:type="paragraph" w:customStyle="1" w:styleId="SubheadV512pt">
    <w:name w:val="_Subhead V5 12pt"/>
    <w:basedOn w:val="Standard"/>
    <w:pPr>
      <w:spacing w:before="100" w:beforeAutospacing="1" w:after="100" w:afterAutospacing="1"/>
      <w:contextualSpacing/>
    </w:pPr>
    <w:rPr>
      <w:rFonts w:ascii="Siemens Sans" w:eastAsia="Times New Roman" w:hAnsi="Siemens Sans"/>
      <w:color w:val="FFFFFF"/>
      <w:spacing w:val="2"/>
      <w:kern w:val="10"/>
      <w:sz w:val="24"/>
      <w:szCs w:val="30"/>
      <w:lang w:eastAsia="de-DE"/>
    </w:rPr>
  </w:style>
  <w:style w:type="paragraph" w:customStyle="1" w:styleId="URLKeyword9pt">
    <w:name w:val="_URL_Keyword 9pt"/>
    <w:pPr>
      <w:jc w:val="right"/>
    </w:pPr>
    <w:rPr>
      <w:rFonts w:ascii="Siemens Sans" w:eastAsiaTheme="minorHAnsi" w:hAnsi="Siemens Sans" w:cstheme="minorBidi"/>
      <w:b/>
      <w:color w:val="000000" w:themeColor="text1"/>
      <w:spacing w:val="2"/>
      <w:kern w:val="8"/>
      <w:sz w:val="18"/>
      <w:szCs w:val="18"/>
      <w:lang w:val="en-US" w:eastAsia="en-US"/>
    </w:rPr>
  </w:style>
  <w:style w:type="paragraph" w:customStyle="1" w:styleId="EyeCatcher">
    <w:name w:val="EyeCatcher"/>
    <w:basedOn w:val="Standard"/>
    <w:uiPriority w:val="71"/>
    <w:rPr>
      <w:rFonts w:ascii="Siemens Sans Black" w:hAnsi="Siemens Sans Black"/>
      <w:color w:val="FFFFFF" w:themeColor="background1"/>
      <w:sz w:val="18"/>
      <w:szCs w:val="15"/>
      <w:lang w:val="en-US"/>
    </w:rPr>
  </w:style>
  <w:style w:type="table" w:customStyle="1" w:styleId="Tabellenraster6">
    <w:name w:val="Tabellenraster6"/>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6">
    <w:name w:val="Tabellenraster16"/>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8">
    <w:name w:val="Tabellenraster18"/>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9">
    <w:name w:val="Tabellenraster19"/>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0">
    <w:name w:val="Tabellenraster20"/>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elltext">
    <w:name w:val="Quelltext"/>
    <w:basedOn w:val="Blocktext"/>
    <w:rPr>
      <w:rFonts w:ascii="Courier New" w:hAnsi="Courier New"/>
      <w:sz w:val="22"/>
    </w:rPr>
  </w:style>
  <w:style w:type="paragraph" w:styleId="berarbeitung">
    <w:name w:val="Revision"/>
    <w:hidden/>
    <w:uiPriority w:val="99"/>
    <w:semiHidden/>
    <w:rPr>
      <w:rFonts w:ascii="Arial" w:eastAsia="Arial Unicode MS" w:hAnsi="Arial"/>
      <w:szCs w:val="24"/>
      <w:lang w:eastAsia="ja-JP"/>
    </w:rPr>
  </w:style>
  <w:style w:type="character" w:styleId="Platzhaltertext">
    <w:name w:val="Placeholder Text"/>
    <w:uiPriority w:val="99"/>
    <w:semiHidden/>
    <w:rPr>
      <w:color w:val="808080"/>
    </w:rPr>
  </w:style>
  <w:style w:type="character" w:customStyle="1" w:styleId="sc41">
    <w:name w:val="sc41"/>
    <w:rPr>
      <w:rFonts w:ascii="Courier New" w:hAnsi="Courier New" w:cs="Courier New" w:hint="default"/>
      <w:b/>
      <w:bCs/>
      <w:color w:val="0000FF"/>
      <w:sz w:val="20"/>
      <w:szCs w:val="20"/>
    </w:rPr>
  </w:style>
  <w:style w:type="character" w:customStyle="1" w:styleId="sc24">
    <w:name w:val="sc24"/>
    <w:rPr>
      <w:rFonts w:ascii="Courier New" w:hAnsi="Courier New" w:cs="Courier New" w:hint="default"/>
      <w:color w:val="000000"/>
      <w:sz w:val="20"/>
      <w:szCs w:val="20"/>
    </w:rPr>
  </w:style>
  <w:style w:type="character" w:customStyle="1" w:styleId="sc21">
    <w:name w:val="sc21"/>
    <w:rPr>
      <w:rFonts w:ascii="Courier New" w:hAnsi="Courier New" w:cs="Courier New" w:hint="default"/>
      <w:color w:val="008040"/>
      <w:sz w:val="20"/>
      <w:szCs w:val="20"/>
    </w:rPr>
  </w:style>
  <w:style w:type="character" w:customStyle="1" w:styleId="sc0">
    <w:name w:val="sc0"/>
    <w:rPr>
      <w:rFonts w:ascii="Courier New" w:hAnsi="Courier New" w:cs="Courier New" w:hint="default"/>
      <w:color w:val="000000"/>
      <w:sz w:val="20"/>
      <w:szCs w:val="20"/>
    </w:rPr>
  </w:style>
  <w:style w:type="paragraph" w:customStyle="1" w:styleId="Default">
    <w:name w:val="Default"/>
    <w:pPr>
      <w:autoSpaceDE w:val="0"/>
      <w:autoSpaceDN w:val="0"/>
      <w:adjustRightInd w:val="0"/>
    </w:pPr>
    <w:rPr>
      <w:rFonts w:ascii="Arial" w:hAnsi="Arial" w:cs="Arial"/>
      <w:color w:val="000000"/>
      <w:sz w:val="24"/>
      <w:szCs w:val="24"/>
      <w:lang w:val="en-US"/>
    </w:rPr>
  </w:style>
  <w:style w:type="paragraph" w:customStyle="1" w:styleId="BlocktitelLegal">
    <w:name w:val="Blocktitel Legal"/>
    <w:basedOn w:val="Blocktitel"/>
    <w:pPr>
      <w:spacing w:before="60" w:after="0" w:line="240" w:lineRule="auto"/>
    </w:pPr>
    <w:rPr>
      <w:rFonts w:eastAsia="Times New Roman"/>
      <w:bCs/>
      <w:sz w:val="18"/>
    </w:rPr>
  </w:style>
  <w:style w:type="paragraph" w:customStyle="1" w:styleId="BlocktextLegal">
    <w:name w:val="Blocktext Legal"/>
    <w:basedOn w:val="Blocktext"/>
    <w:pPr>
      <w:spacing w:before="0" w:after="60"/>
    </w:pPr>
    <w:rPr>
      <w:sz w:val="17"/>
    </w:rPr>
  </w:style>
  <w:style w:type="paragraph" w:customStyle="1" w:styleId="berschrift3Abstandhalter">
    <w:name w:val="Überschrift 3 Abstandhalter"/>
    <w:basedOn w:val="Blocktext"/>
    <w:uiPriority w:val="2"/>
    <w:pPr>
      <w:keepLines/>
    </w:pPr>
    <w:rPr>
      <w:lang w:val="en-US" w:eastAsia="ja-JP"/>
    </w:rPr>
  </w:style>
  <w:style w:type="character" w:customStyle="1" w:styleId="berschriftbersichtZchn">
    <w:name w:val="Überschrift_Übersicht Zchn"/>
    <w:link w:val="berschriftbersicht"/>
    <w:rPr>
      <w:rFonts w:ascii="Arial" w:eastAsia="Arial Unicode MS" w:hAnsi="Arial"/>
      <w:b/>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504577">
      <w:bodyDiv w:val="1"/>
      <w:marLeft w:val="0"/>
      <w:marRight w:val="0"/>
      <w:marTop w:val="0"/>
      <w:marBottom w:val="0"/>
      <w:divBdr>
        <w:top w:val="none" w:sz="0" w:space="0" w:color="auto"/>
        <w:left w:val="none" w:sz="0" w:space="0" w:color="auto"/>
        <w:bottom w:val="none" w:sz="0" w:space="0" w:color="auto"/>
        <w:right w:val="none" w:sz="0" w:space="0" w:color="auto"/>
      </w:divBdr>
    </w:div>
    <w:div w:id="539242895">
      <w:bodyDiv w:val="1"/>
      <w:marLeft w:val="0"/>
      <w:marRight w:val="0"/>
      <w:marTop w:val="0"/>
      <w:marBottom w:val="0"/>
      <w:divBdr>
        <w:top w:val="none" w:sz="0" w:space="0" w:color="auto"/>
        <w:left w:val="none" w:sz="0" w:space="0" w:color="auto"/>
        <w:bottom w:val="none" w:sz="0" w:space="0" w:color="auto"/>
        <w:right w:val="none" w:sz="0" w:space="0" w:color="auto"/>
      </w:divBdr>
      <w:divsChild>
        <w:div w:id="1353530820">
          <w:marLeft w:val="0"/>
          <w:marRight w:val="0"/>
          <w:marTop w:val="0"/>
          <w:marBottom w:val="0"/>
          <w:divBdr>
            <w:top w:val="none" w:sz="0" w:space="0" w:color="auto"/>
            <w:left w:val="none" w:sz="0" w:space="0" w:color="auto"/>
            <w:bottom w:val="none" w:sz="0" w:space="0" w:color="auto"/>
            <w:right w:val="none" w:sz="0" w:space="0" w:color="auto"/>
          </w:divBdr>
        </w:div>
        <w:div w:id="1565289889">
          <w:marLeft w:val="0"/>
          <w:marRight w:val="0"/>
          <w:marTop w:val="0"/>
          <w:marBottom w:val="0"/>
          <w:divBdr>
            <w:top w:val="none" w:sz="0" w:space="0" w:color="auto"/>
            <w:left w:val="none" w:sz="0" w:space="0" w:color="auto"/>
            <w:bottom w:val="none" w:sz="0" w:space="0" w:color="auto"/>
            <w:right w:val="none" w:sz="0" w:space="0" w:color="auto"/>
          </w:divBdr>
        </w:div>
      </w:divsChild>
    </w:div>
    <w:div w:id="1171946733">
      <w:bodyDiv w:val="1"/>
      <w:marLeft w:val="0"/>
      <w:marRight w:val="0"/>
      <w:marTop w:val="0"/>
      <w:marBottom w:val="0"/>
      <w:divBdr>
        <w:top w:val="none" w:sz="0" w:space="0" w:color="auto"/>
        <w:left w:val="none" w:sz="0" w:space="0" w:color="auto"/>
        <w:bottom w:val="none" w:sz="0" w:space="0" w:color="auto"/>
        <w:right w:val="none" w:sz="0" w:space="0" w:color="auto"/>
      </w:divBdr>
    </w:div>
    <w:div w:id="1441298299">
      <w:bodyDiv w:val="1"/>
      <w:marLeft w:val="0"/>
      <w:marRight w:val="0"/>
      <w:marTop w:val="0"/>
      <w:marBottom w:val="0"/>
      <w:divBdr>
        <w:top w:val="none" w:sz="0" w:space="0" w:color="auto"/>
        <w:left w:val="none" w:sz="0" w:space="0" w:color="auto"/>
        <w:bottom w:val="none" w:sz="0" w:space="0" w:color="auto"/>
        <w:right w:val="none" w:sz="0" w:space="0" w:color="auto"/>
      </w:divBdr>
    </w:div>
    <w:div w:id="1856992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package" Target="embeddings/Microsoft_PowerPoint_Slide1.sldx"/><Relationship Id="rId39" Type="http://schemas.openxmlformats.org/officeDocument/2006/relationships/hyperlink" Target="http://docs.oasis-open.org/mqtt/mqtt/v3.1.1/os/mqtt-v3.1.1-os.html" TargetMode="External"/><Relationship Id="rId3" Type="http://schemas.openxmlformats.org/officeDocument/2006/relationships/styles" Target="styles.xml"/><Relationship Id="rId21" Type="http://schemas.openxmlformats.org/officeDocument/2006/relationships/hyperlink" Target="http://www.siemens.com/industrialsecurity" TargetMode="External"/><Relationship Id="rId34" Type="http://schemas.openxmlformats.org/officeDocument/2006/relationships/hyperlink" Target="http://www.siemens.de/industry/supportrequest" TargetMode="External"/><Relationship Id="rId42" Type="http://schemas.openxmlformats.org/officeDocument/2006/relationships/header" Target="header9.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s://www.siemens.com/industrialsecurity" TargetMode="External"/><Relationship Id="rId25" Type="http://schemas.openxmlformats.org/officeDocument/2006/relationships/image" Target="media/image5.emf"/><Relationship Id="rId33" Type="http://schemas.openxmlformats.org/officeDocument/2006/relationships/hyperlink" Target="https://support.industry.siemens.com/" TargetMode="External"/><Relationship Id="rId38" Type="http://schemas.openxmlformats.org/officeDocument/2006/relationships/hyperlink" Target="https://support.industry.siemens.com" TargetMode="External"/><Relationship Id="rId2" Type="http://schemas.openxmlformats.org/officeDocument/2006/relationships/numbering" Target="numbering.xml"/><Relationship Id="rId16" Type="http://schemas.openxmlformats.org/officeDocument/2006/relationships/hyperlink" Target="https://support.industry.siemens.com" TargetMode="External"/><Relationship Id="rId20" Type="http://schemas.openxmlformats.org/officeDocument/2006/relationships/footer" Target="footer4.xml"/><Relationship Id="rId29" Type="http://schemas.openxmlformats.org/officeDocument/2006/relationships/image" Target="media/image8.png"/><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0.png"/><Relationship Id="rId37" Type="http://schemas.openxmlformats.org/officeDocument/2006/relationships/hyperlink" Target="https://support.industry.siemens.com/cs/ww/de/sc/2067" TargetMode="External"/><Relationship Id="rId40" Type="http://schemas.openxmlformats.org/officeDocument/2006/relationships/hyperlink" Target="https://support.industry.siemens.com/cs/ww/de/view/51339682" TargetMode="Externa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eader" Target="header7.xml"/><Relationship Id="rId28" Type="http://schemas.openxmlformats.org/officeDocument/2006/relationships/image" Target="media/image7.png"/><Relationship Id="rId36" Type="http://schemas.openxmlformats.org/officeDocument/2006/relationships/hyperlink" Target="https://support.industry.siemens.com/cs/sc" TargetMode="External"/><Relationship Id="rId10" Type="http://schemas.openxmlformats.org/officeDocument/2006/relationships/header" Target="header2.xml"/><Relationship Id="rId19" Type="http://schemas.openxmlformats.org/officeDocument/2006/relationships/header" Target="header5.xml"/><Relationship Id="rId31" Type="http://schemas.openxmlformats.org/officeDocument/2006/relationships/package" Target="embeddings/Microsoft_PowerPoint_Slide2.sldx"/><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6.xml"/><Relationship Id="rId27" Type="http://schemas.openxmlformats.org/officeDocument/2006/relationships/image" Target="media/image6.png"/><Relationship Id="rId30" Type="http://schemas.openxmlformats.org/officeDocument/2006/relationships/image" Target="media/image9.emf"/><Relationship Id="rId35" Type="http://schemas.openxmlformats.org/officeDocument/2006/relationships/hyperlink" Target="http://www.siemens.de/sitrain" TargetMode="External"/><Relationship Id="rId43"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nuan0\AppData\Roaming\Microsoft\Templates\OS.dotm"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638848-6548-463A-85AB-0FA85EE24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OS.dotm</Template>
  <TotalTime>0</TotalTime>
  <Pages>32</Pages>
  <Words>6408</Words>
  <Characters>49140</Characters>
  <Application>Microsoft Office Word</Application>
  <DocSecurity>0</DocSecurity>
  <Lines>1535</Lines>
  <Paragraphs>957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Application description</vt:lpstr>
      <vt:lpstr>Application description</vt:lpstr>
    </vt:vector>
  </TitlesOfParts>
  <Company>Siemens AG</Company>
  <LinksUpToDate>false</LinksUpToDate>
  <CharactersWithSpaces>54591</CharactersWithSpaces>
  <SharedDoc>false</SharedDoc>
  <HLinks>
    <vt:vector size="294" baseType="variant">
      <vt:variant>
        <vt:i4>3670027</vt:i4>
      </vt:variant>
      <vt:variant>
        <vt:i4>462</vt:i4>
      </vt:variant>
      <vt:variant>
        <vt:i4>0</vt:i4>
      </vt:variant>
      <vt:variant>
        <vt:i4>5</vt:i4>
      </vt:variant>
      <vt:variant>
        <vt:lpwstr>mailto:tech.team.motioncontrol@siemens.com</vt:lpwstr>
      </vt:variant>
      <vt:variant>
        <vt:lpwstr/>
      </vt:variant>
      <vt:variant>
        <vt:i4>7995426</vt:i4>
      </vt:variant>
      <vt:variant>
        <vt:i4>459</vt:i4>
      </vt:variant>
      <vt:variant>
        <vt:i4>0</vt:i4>
      </vt:variant>
      <vt:variant>
        <vt:i4>5</vt:i4>
      </vt:variant>
      <vt:variant>
        <vt:lpwstr>http://support.automation.siemens.com/</vt:lpwstr>
      </vt:variant>
      <vt:variant>
        <vt:lpwstr/>
      </vt:variant>
      <vt:variant>
        <vt:i4>2293804</vt:i4>
      </vt:variant>
      <vt:variant>
        <vt:i4>456</vt:i4>
      </vt:variant>
      <vt:variant>
        <vt:i4>0</vt:i4>
      </vt:variant>
      <vt:variant>
        <vt:i4>5</vt:i4>
      </vt:variant>
      <vt:variant>
        <vt:lpwstr>http://support.automation.siemens.com/WW/view/de/BeitragsID</vt:lpwstr>
      </vt:variant>
      <vt:variant>
        <vt:lpwstr/>
      </vt:variant>
      <vt:variant>
        <vt:i4>589829</vt:i4>
      </vt:variant>
      <vt:variant>
        <vt:i4>294</vt:i4>
      </vt:variant>
      <vt:variant>
        <vt:i4>0</vt:i4>
      </vt:variant>
      <vt:variant>
        <vt:i4>5</vt:i4>
      </vt:variant>
      <vt:variant>
        <vt:lpwstr>https://intranet.automation.siemens.com/mcms/programmable-logic-controller/de/Seiten/Default.aspx</vt:lpwstr>
      </vt:variant>
      <vt:variant>
        <vt:lpwstr/>
      </vt:variant>
      <vt:variant>
        <vt:i4>1376311</vt:i4>
      </vt:variant>
      <vt:variant>
        <vt:i4>263</vt:i4>
      </vt:variant>
      <vt:variant>
        <vt:i4>0</vt:i4>
      </vt:variant>
      <vt:variant>
        <vt:i4>5</vt:i4>
      </vt:variant>
      <vt:variant>
        <vt:lpwstr/>
      </vt:variant>
      <vt:variant>
        <vt:lpwstr>_Toc321403573</vt:lpwstr>
      </vt:variant>
      <vt:variant>
        <vt:i4>1376311</vt:i4>
      </vt:variant>
      <vt:variant>
        <vt:i4>257</vt:i4>
      </vt:variant>
      <vt:variant>
        <vt:i4>0</vt:i4>
      </vt:variant>
      <vt:variant>
        <vt:i4>5</vt:i4>
      </vt:variant>
      <vt:variant>
        <vt:lpwstr/>
      </vt:variant>
      <vt:variant>
        <vt:lpwstr>_Toc321403572</vt:lpwstr>
      </vt:variant>
      <vt:variant>
        <vt:i4>1376311</vt:i4>
      </vt:variant>
      <vt:variant>
        <vt:i4>251</vt:i4>
      </vt:variant>
      <vt:variant>
        <vt:i4>0</vt:i4>
      </vt:variant>
      <vt:variant>
        <vt:i4>5</vt:i4>
      </vt:variant>
      <vt:variant>
        <vt:lpwstr/>
      </vt:variant>
      <vt:variant>
        <vt:lpwstr>_Toc321403571</vt:lpwstr>
      </vt:variant>
      <vt:variant>
        <vt:i4>1376311</vt:i4>
      </vt:variant>
      <vt:variant>
        <vt:i4>245</vt:i4>
      </vt:variant>
      <vt:variant>
        <vt:i4>0</vt:i4>
      </vt:variant>
      <vt:variant>
        <vt:i4>5</vt:i4>
      </vt:variant>
      <vt:variant>
        <vt:lpwstr/>
      </vt:variant>
      <vt:variant>
        <vt:lpwstr>_Toc321403570</vt:lpwstr>
      </vt:variant>
      <vt:variant>
        <vt:i4>1310775</vt:i4>
      </vt:variant>
      <vt:variant>
        <vt:i4>239</vt:i4>
      </vt:variant>
      <vt:variant>
        <vt:i4>0</vt:i4>
      </vt:variant>
      <vt:variant>
        <vt:i4>5</vt:i4>
      </vt:variant>
      <vt:variant>
        <vt:lpwstr/>
      </vt:variant>
      <vt:variant>
        <vt:lpwstr>_Toc321403569</vt:lpwstr>
      </vt:variant>
      <vt:variant>
        <vt:i4>1310775</vt:i4>
      </vt:variant>
      <vt:variant>
        <vt:i4>233</vt:i4>
      </vt:variant>
      <vt:variant>
        <vt:i4>0</vt:i4>
      </vt:variant>
      <vt:variant>
        <vt:i4>5</vt:i4>
      </vt:variant>
      <vt:variant>
        <vt:lpwstr/>
      </vt:variant>
      <vt:variant>
        <vt:lpwstr>_Toc321403568</vt:lpwstr>
      </vt:variant>
      <vt:variant>
        <vt:i4>1310775</vt:i4>
      </vt:variant>
      <vt:variant>
        <vt:i4>227</vt:i4>
      </vt:variant>
      <vt:variant>
        <vt:i4>0</vt:i4>
      </vt:variant>
      <vt:variant>
        <vt:i4>5</vt:i4>
      </vt:variant>
      <vt:variant>
        <vt:lpwstr/>
      </vt:variant>
      <vt:variant>
        <vt:lpwstr>_Toc321403567</vt:lpwstr>
      </vt:variant>
      <vt:variant>
        <vt:i4>1310775</vt:i4>
      </vt:variant>
      <vt:variant>
        <vt:i4>221</vt:i4>
      </vt:variant>
      <vt:variant>
        <vt:i4>0</vt:i4>
      </vt:variant>
      <vt:variant>
        <vt:i4>5</vt:i4>
      </vt:variant>
      <vt:variant>
        <vt:lpwstr/>
      </vt:variant>
      <vt:variant>
        <vt:lpwstr>_Toc321403566</vt:lpwstr>
      </vt:variant>
      <vt:variant>
        <vt:i4>1310775</vt:i4>
      </vt:variant>
      <vt:variant>
        <vt:i4>215</vt:i4>
      </vt:variant>
      <vt:variant>
        <vt:i4>0</vt:i4>
      </vt:variant>
      <vt:variant>
        <vt:i4>5</vt:i4>
      </vt:variant>
      <vt:variant>
        <vt:lpwstr/>
      </vt:variant>
      <vt:variant>
        <vt:lpwstr>_Toc321403565</vt:lpwstr>
      </vt:variant>
      <vt:variant>
        <vt:i4>1310775</vt:i4>
      </vt:variant>
      <vt:variant>
        <vt:i4>209</vt:i4>
      </vt:variant>
      <vt:variant>
        <vt:i4>0</vt:i4>
      </vt:variant>
      <vt:variant>
        <vt:i4>5</vt:i4>
      </vt:variant>
      <vt:variant>
        <vt:lpwstr/>
      </vt:variant>
      <vt:variant>
        <vt:lpwstr>_Toc321403564</vt:lpwstr>
      </vt:variant>
      <vt:variant>
        <vt:i4>1310775</vt:i4>
      </vt:variant>
      <vt:variant>
        <vt:i4>203</vt:i4>
      </vt:variant>
      <vt:variant>
        <vt:i4>0</vt:i4>
      </vt:variant>
      <vt:variant>
        <vt:i4>5</vt:i4>
      </vt:variant>
      <vt:variant>
        <vt:lpwstr/>
      </vt:variant>
      <vt:variant>
        <vt:lpwstr>_Toc321403563</vt:lpwstr>
      </vt:variant>
      <vt:variant>
        <vt:i4>1310775</vt:i4>
      </vt:variant>
      <vt:variant>
        <vt:i4>197</vt:i4>
      </vt:variant>
      <vt:variant>
        <vt:i4>0</vt:i4>
      </vt:variant>
      <vt:variant>
        <vt:i4>5</vt:i4>
      </vt:variant>
      <vt:variant>
        <vt:lpwstr/>
      </vt:variant>
      <vt:variant>
        <vt:lpwstr>_Toc321403562</vt:lpwstr>
      </vt:variant>
      <vt:variant>
        <vt:i4>1310775</vt:i4>
      </vt:variant>
      <vt:variant>
        <vt:i4>191</vt:i4>
      </vt:variant>
      <vt:variant>
        <vt:i4>0</vt:i4>
      </vt:variant>
      <vt:variant>
        <vt:i4>5</vt:i4>
      </vt:variant>
      <vt:variant>
        <vt:lpwstr/>
      </vt:variant>
      <vt:variant>
        <vt:lpwstr>_Toc321403561</vt:lpwstr>
      </vt:variant>
      <vt:variant>
        <vt:i4>1310775</vt:i4>
      </vt:variant>
      <vt:variant>
        <vt:i4>185</vt:i4>
      </vt:variant>
      <vt:variant>
        <vt:i4>0</vt:i4>
      </vt:variant>
      <vt:variant>
        <vt:i4>5</vt:i4>
      </vt:variant>
      <vt:variant>
        <vt:lpwstr/>
      </vt:variant>
      <vt:variant>
        <vt:lpwstr>_Toc321403560</vt:lpwstr>
      </vt:variant>
      <vt:variant>
        <vt:i4>1507383</vt:i4>
      </vt:variant>
      <vt:variant>
        <vt:i4>179</vt:i4>
      </vt:variant>
      <vt:variant>
        <vt:i4>0</vt:i4>
      </vt:variant>
      <vt:variant>
        <vt:i4>5</vt:i4>
      </vt:variant>
      <vt:variant>
        <vt:lpwstr/>
      </vt:variant>
      <vt:variant>
        <vt:lpwstr>_Toc321403559</vt:lpwstr>
      </vt:variant>
      <vt:variant>
        <vt:i4>1507383</vt:i4>
      </vt:variant>
      <vt:variant>
        <vt:i4>173</vt:i4>
      </vt:variant>
      <vt:variant>
        <vt:i4>0</vt:i4>
      </vt:variant>
      <vt:variant>
        <vt:i4>5</vt:i4>
      </vt:variant>
      <vt:variant>
        <vt:lpwstr/>
      </vt:variant>
      <vt:variant>
        <vt:lpwstr>_Toc321403558</vt:lpwstr>
      </vt:variant>
      <vt:variant>
        <vt:i4>1507383</vt:i4>
      </vt:variant>
      <vt:variant>
        <vt:i4>167</vt:i4>
      </vt:variant>
      <vt:variant>
        <vt:i4>0</vt:i4>
      </vt:variant>
      <vt:variant>
        <vt:i4>5</vt:i4>
      </vt:variant>
      <vt:variant>
        <vt:lpwstr/>
      </vt:variant>
      <vt:variant>
        <vt:lpwstr>_Toc321403557</vt:lpwstr>
      </vt:variant>
      <vt:variant>
        <vt:i4>1507383</vt:i4>
      </vt:variant>
      <vt:variant>
        <vt:i4>161</vt:i4>
      </vt:variant>
      <vt:variant>
        <vt:i4>0</vt:i4>
      </vt:variant>
      <vt:variant>
        <vt:i4>5</vt:i4>
      </vt:variant>
      <vt:variant>
        <vt:lpwstr/>
      </vt:variant>
      <vt:variant>
        <vt:lpwstr>_Toc321403556</vt:lpwstr>
      </vt:variant>
      <vt:variant>
        <vt:i4>1507383</vt:i4>
      </vt:variant>
      <vt:variant>
        <vt:i4>155</vt:i4>
      </vt:variant>
      <vt:variant>
        <vt:i4>0</vt:i4>
      </vt:variant>
      <vt:variant>
        <vt:i4>5</vt:i4>
      </vt:variant>
      <vt:variant>
        <vt:lpwstr/>
      </vt:variant>
      <vt:variant>
        <vt:lpwstr>_Toc321403555</vt:lpwstr>
      </vt:variant>
      <vt:variant>
        <vt:i4>1507383</vt:i4>
      </vt:variant>
      <vt:variant>
        <vt:i4>149</vt:i4>
      </vt:variant>
      <vt:variant>
        <vt:i4>0</vt:i4>
      </vt:variant>
      <vt:variant>
        <vt:i4>5</vt:i4>
      </vt:variant>
      <vt:variant>
        <vt:lpwstr/>
      </vt:variant>
      <vt:variant>
        <vt:lpwstr>_Toc321403554</vt:lpwstr>
      </vt:variant>
      <vt:variant>
        <vt:i4>1507383</vt:i4>
      </vt:variant>
      <vt:variant>
        <vt:i4>143</vt:i4>
      </vt:variant>
      <vt:variant>
        <vt:i4>0</vt:i4>
      </vt:variant>
      <vt:variant>
        <vt:i4>5</vt:i4>
      </vt:variant>
      <vt:variant>
        <vt:lpwstr/>
      </vt:variant>
      <vt:variant>
        <vt:lpwstr>_Toc321403553</vt:lpwstr>
      </vt:variant>
      <vt:variant>
        <vt:i4>1507383</vt:i4>
      </vt:variant>
      <vt:variant>
        <vt:i4>137</vt:i4>
      </vt:variant>
      <vt:variant>
        <vt:i4>0</vt:i4>
      </vt:variant>
      <vt:variant>
        <vt:i4>5</vt:i4>
      </vt:variant>
      <vt:variant>
        <vt:lpwstr/>
      </vt:variant>
      <vt:variant>
        <vt:lpwstr>_Toc321403552</vt:lpwstr>
      </vt:variant>
      <vt:variant>
        <vt:i4>1507383</vt:i4>
      </vt:variant>
      <vt:variant>
        <vt:i4>131</vt:i4>
      </vt:variant>
      <vt:variant>
        <vt:i4>0</vt:i4>
      </vt:variant>
      <vt:variant>
        <vt:i4>5</vt:i4>
      </vt:variant>
      <vt:variant>
        <vt:lpwstr/>
      </vt:variant>
      <vt:variant>
        <vt:lpwstr>_Toc321403551</vt:lpwstr>
      </vt:variant>
      <vt:variant>
        <vt:i4>1507383</vt:i4>
      </vt:variant>
      <vt:variant>
        <vt:i4>125</vt:i4>
      </vt:variant>
      <vt:variant>
        <vt:i4>0</vt:i4>
      </vt:variant>
      <vt:variant>
        <vt:i4>5</vt:i4>
      </vt:variant>
      <vt:variant>
        <vt:lpwstr/>
      </vt:variant>
      <vt:variant>
        <vt:lpwstr>_Toc321403550</vt:lpwstr>
      </vt:variant>
      <vt:variant>
        <vt:i4>1441847</vt:i4>
      </vt:variant>
      <vt:variant>
        <vt:i4>119</vt:i4>
      </vt:variant>
      <vt:variant>
        <vt:i4>0</vt:i4>
      </vt:variant>
      <vt:variant>
        <vt:i4>5</vt:i4>
      </vt:variant>
      <vt:variant>
        <vt:lpwstr/>
      </vt:variant>
      <vt:variant>
        <vt:lpwstr>_Toc321403549</vt:lpwstr>
      </vt:variant>
      <vt:variant>
        <vt:i4>1441847</vt:i4>
      </vt:variant>
      <vt:variant>
        <vt:i4>113</vt:i4>
      </vt:variant>
      <vt:variant>
        <vt:i4>0</vt:i4>
      </vt:variant>
      <vt:variant>
        <vt:i4>5</vt:i4>
      </vt:variant>
      <vt:variant>
        <vt:lpwstr/>
      </vt:variant>
      <vt:variant>
        <vt:lpwstr>_Toc321403548</vt:lpwstr>
      </vt:variant>
      <vt:variant>
        <vt:i4>1441847</vt:i4>
      </vt:variant>
      <vt:variant>
        <vt:i4>107</vt:i4>
      </vt:variant>
      <vt:variant>
        <vt:i4>0</vt:i4>
      </vt:variant>
      <vt:variant>
        <vt:i4>5</vt:i4>
      </vt:variant>
      <vt:variant>
        <vt:lpwstr/>
      </vt:variant>
      <vt:variant>
        <vt:lpwstr>_Toc321403547</vt:lpwstr>
      </vt:variant>
      <vt:variant>
        <vt:i4>1441847</vt:i4>
      </vt:variant>
      <vt:variant>
        <vt:i4>101</vt:i4>
      </vt:variant>
      <vt:variant>
        <vt:i4>0</vt:i4>
      </vt:variant>
      <vt:variant>
        <vt:i4>5</vt:i4>
      </vt:variant>
      <vt:variant>
        <vt:lpwstr/>
      </vt:variant>
      <vt:variant>
        <vt:lpwstr>_Toc321403546</vt:lpwstr>
      </vt:variant>
      <vt:variant>
        <vt:i4>1441847</vt:i4>
      </vt:variant>
      <vt:variant>
        <vt:i4>95</vt:i4>
      </vt:variant>
      <vt:variant>
        <vt:i4>0</vt:i4>
      </vt:variant>
      <vt:variant>
        <vt:i4>5</vt:i4>
      </vt:variant>
      <vt:variant>
        <vt:lpwstr/>
      </vt:variant>
      <vt:variant>
        <vt:lpwstr>_Toc321403545</vt:lpwstr>
      </vt:variant>
      <vt:variant>
        <vt:i4>1441847</vt:i4>
      </vt:variant>
      <vt:variant>
        <vt:i4>89</vt:i4>
      </vt:variant>
      <vt:variant>
        <vt:i4>0</vt:i4>
      </vt:variant>
      <vt:variant>
        <vt:i4>5</vt:i4>
      </vt:variant>
      <vt:variant>
        <vt:lpwstr/>
      </vt:variant>
      <vt:variant>
        <vt:lpwstr>_Toc321403544</vt:lpwstr>
      </vt:variant>
      <vt:variant>
        <vt:i4>1441847</vt:i4>
      </vt:variant>
      <vt:variant>
        <vt:i4>83</vt:i4>
      </vt:variant>
      <vt:variant>
        <vt:i4>0</vt:i4>
      </vt:variant>
      <vt:variant>
        <vt:i4>5</vt:i4>
      </vt:variant>
      <vt:variant>
        <vt:lpwstr/>
      </vt:variant>
      <vt:variant>
        <vt:lpwstr>_Toc321403543</vt:lpwstr>
      </vt:variant>
      <vt:variant>
        <vt:i4>1441847</vt:i4>
      </vt:variant>
      <vt:variant>
        <vt:i4>77</vt:i4>
      </vt:variant>
      <vt:variant>
        <vt:i4>0</vt:i4>
      </vt:variant>
      <vt:variant>
        <vt:i4>5</vt:i4>
      </vt:variant>
      <vt:variant>
        <vt:lpwstr/>
      </vt:variant>
      <vt:variant>
        <vt:lpwstr>_Toc321403542</vt:lpwstr>
      </vt:variant>
      <vt:variant>
        <vt:i4>1441847</vt:i4>
      </vt:variant>
      <vt:variant>
        <vt:i4>71</vt:i4>
      </vt:variant>
      <vt:variant>
        <vt:i4>0</vt:i4>
      </vt:variant>
      <vt:variant>
        <vt:i4>5</vt:i4>
      </vt:variant>
      <vt:variant>
        <vt:lpwstr/>
      </vt:variant>
      <vt:variant>
        <vt:lpwstr>_Toc321403541</vt:lpwstr>
      </vt:variant>
      <vt:variant>
        <vt:i4>1441847</vt:i4>
      </vt:variant>
      <vt:variant>
        <vt:i4>65</vt:i4>
      </vt:variant>
      <vt:variant>
        <vt:i4>0</vt:i4>
      </vt:variant>
      <vt:variant>
        <vt:i4>5</vt:i4>
      </vt:variant>
      <vt:variant>
        <vt:lpwstr/>
      </vt:variant>
      <vt:variant>
        <vt:lpwstr>_Toc321403540</vt:lpwstr>
      </vt:variant>
      <vt:variant>
        <vt:i4>1114167</vt:i4>
      </vt:variant>
      <vt:variant>
        <vt:i4>59</vt:i4>
      </vt:variant>
      <vt:variant>
        <vt:i4>0</vt:i4>
      </vt:variant>
      <vt:variant>
        <vt:i4>5</vt:i4>
      </vt:variant>
      <vt:variant>
        <vt:lpwstr/>
      </vt:variant>
      <vt:variant>
        <vt:lpwstr>_Toc321403539</vt:lpwstr>
      </vt:variant>
      <vt:variant>
        <vt:i4>1114167</vt:i4>
      </vt:variant>
      <vt:variant>
        <vt:i4>53</vt:i4>
      </vt:variant>
      <vt:variant>
        <vt:i4>0</vt:i4>
      </vt:variant>
      <vt:variant>
        <vt:i4>5</vt:i4>
      </vt:variant>
      <vt:variant>
        <vt:lpwstr/>
      </vt:variant>
      <vt:variant>
        <vt:lpwstr>_Toc321403538</vt:lpwstr>
      </vt:variant>
      <vt:variant>
        <vt:i4>1114167</vt:i4>
      </vt:variant>
      <vt:variant>
        <vt:i4>47</vt:i4>
      </vt:variant>
      <vt:variant>
        <vt:i4>0</vt:i4>
      </vt:variant>
      <vt:variant>
        <vt:i4>5</vt:i4>
      </vt:variant>
      <vt:variant>
        <vt:lpwstr/>
      </vt:variant>
      <vt:variant>
        <vt:lpwstr>_Toc321403537</vt:lpwstr>
      </vt:variant>
      <vt:variant>
        <vt:i4>1114167</vt:i4>
      </vt:variant>
      <vt:variant>
        <vt:i4>41</vt:i4>
      </vt:variant>
      <vt:variant>
        <vt:i4>0</vt:i4>
      </vt:variant>
      <vt:variant>
        <vt:i4>5</vt:i4>
      </vt:variant>
      <vt:variant>
        <vt:lpwstr/>
      </vt:variant>
      <vt:variant>
        <vt:lpwstr>_Toc321403536</vt:lpwstr>
      </vt:variant>
      <vt:variant>
        <vt:i4>1114167</vt:i4>
      </vt:variant>
      <vt:variant>
        <vt:i4>35</vt:i4>
      </vt:variant>
      <vt:variant>
        <vt:i4>0</vt:i4>
      </vt:variant>
      <vt:variant>
        <vt:i4>5</vt:i4>
      </vt:variant>
      <vt:variant>
        <vt:lpwstr/>
      </vt:variant>
      <vt:variant>
        <vt:lpwstr>_Toc321403535</vt:lpwstr>
      </vt:variant>
      <vt:variant>
        <vt:i4>1114167</vt:i4>
      </vt:variant>
      <vt:variant>
        <vt:i4>29</vt:i4>
      </vt:variant>
      <vt:variant>
        <vt:i4>0</vt:i4>
      </vt:variant>
      <vt:variant>
        <vt:i4>5</vt:i4>
      </vt:variant>
      <vt:variant>
        <vt:lpwstr/>
      </vt:variant>
      <vt:variant>
        <vt:lpwstr>_Toc321403534</vt:lpwstr>
      </vt:variant>
      <vt:variant>
        <vt:i4>1114167</vt:i4>
      </vt:variant>
      <vt:variant>
        <vt:i4>23</vt:i4>
      </vt:variant>
      <vt:variant>
        <vt:i4>0</vt:i4>
      </vt:variant>
      <vt:variant>
        <vt:i4>5</vt:i4>
      </vt:variant>
      <vt:variant>
        <vt:lpwstr/>
      </vt:variant>
      <vt:variant>
        <vt:lpwstr>_Toc321403533</vt:lpwstr>
      </vt:variant>
      <vt:variant>
        <vt:i4>1114167</vt:i4>
      </vt:variant>
      <vt:variant>
        <vt:i4>17</vt:i4>
      </vt:variant>
      <vt:variant>
        <vt:i4>0</vt:i4>
      </vt:variant>
      <vt:variant>
        <vt:i4>5</vt:i4>
      </vt:variant>
      <vt:variant>
        <vt:lpwstr/>
      </vt:variant>
      <vt:variant>
        <vt:lpwstr>_Toc321403532</vt:lpwstr>
      </vt:variant>
      <vt:variant>
        <vt:i4>1114167</vt:i4>
      </vt:variant>
      <vt:variant>
        <vt:i4>11</vt:i4>
      </vt:variant>
      <vt:variant>
        <vt:i4>0</vt:i4>
      </vt:variant>
      <vt:variant>
        <vt:i4>5</vt:i4>
      </vt:variant>
      <vt:variant>
        <vt:lpwstr/>
      </vt:variant>
      <vt:variant>
        <vt:lpwstr>_Toc321403531</vt:lpwstr>
      </vt:variant>
      <vt:variant>
        <vt:i4>5242907</vt:i4>
      </vt:variant>
      <vt:variant>
        <vt:i4>3</vt:i4>
      </vt:variant>
      <vt:variant>
        <vt:i4>0</vt:i4>
      </vt:variant>
      <vt:variant>
        <vt:i4>5</vt:i4>
      </vt:variant>
      <vt:variant>
        <vt:lpwstr>http://support.automation.siemens.com/WW/view/de/50203404</vt:lpwstr>
      </vt:variant>
      <vt:variant>
        <vt:lpwstr/>
      </vt:variant>
      <vt:variant>
        <vt:i4>4128878</vt:i4>
      </vt:variant>
      <vt:variant>
        <vt:i4>0</vt:i4>
      </vt:variant>
      <vt:variant>
        <vt:i4>0</vt:i4>
      </vt:variant>
      <vt:variant>
        <vt:i4>5</vt:i4>
      </vt:variant>
      <vt:variant>
        <vt:lpwstr>http://support.automation.siemens.com/WW/view/de/%3cBeitrags-Nr%3e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MQTT-Publisher (unverschlüsselt)  für die S7-1500/  S7-1200  und S7-300   </dc:title>
  <dc:subject>Application &amp; Tools</dc:subject>
  <dc:creator>Siemens Industry Online Support</dc:creator>
  <cp:keywords>C_Unrestricted</cp:keywords>
  <cp:lastModifiedBy>Nuber, Anna (DF CS SD CCC OS 1)</cp:lastModifiedBy>
  <cp:revision>6</cp:revision>
  <cp:lastPrinted>2018-07-30T12:16:00Z</cp:lastPrinted>
  <dcterms:created xsi:type="dcterms:W3CDTF">2018-07-23T08:55:00Z</dcterms:created>
  <dcterms:modified xsi:type="dcterms:W3CDTF">2018-07-30T12:16:00Z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um">
    <vt:lpwstr>08/2018</vt:lpwstr>
  </property>
  <property fmtid="{D5CDD505-2E9C-101B-9397-08002B2CF9AE}" pid="3" name="AB-Kurztitel">
    <vt:lpwstr>MQTT_Publish_unsecure</vt:lpwstr>
  </property>
  <property fmtid="{D5CDD505-2E9C-101B-9397-08002B2CF9AE}" pid="4" name="Copyright-Jahr">
    <vt:lpwstr>2018</vt:lpwstr>
  </property>
  <property fmtid="{D5CDD505-2E9C-101B-9397-08002B2CF9AE}" pid="5" name="DocLang">
    <vt:lpwstr>DE</vt:lpwstr>
  </property>
  <property fmtid="{D5CDD505-2E9C-101B-9397-08002B2CF9AE}" pid="6" name="Version-Ident.-Nr.">
    <vt:lpwstr>V1.1</vt:lpwstr>
  </property>
  <property fmtid="{D5CDD505-2E9C-101B-9397-08002B2CF9AE}" pid="7" name="Logdatei">
    <vt:bool>false</vt:bool>
  </property>
  <property fmtid="{D5CDD505-2E9C-101B-9397-08002B2CF9AE}" pid="8" name="DokArt">
    <vt:lpwstr>TEMPLATE_APPL_V5</vt:lpwstr>
  </property>
  <property fmtid="{D5CDD505-2E9C-101B-9397-08002B2CF9AE}" pid="9" name="ID-Nummer">
    <vt:lpwstr>109748872</vt:lpwstr>
  </property>
  <property fmtid="{D5CDD505-2E9C-101B-9397-08002B2CF9AE}" pid="10" name="DefTabSpalten">
    <vt:i4>2</vt:i4>
  </property>
  <property fmtid="{D5CDD505-2E9C-101B-9397-08002B2CF9AE}" pid="11" name="DefTabZeilen">
    <vt:i4>6</vt:i4>
  </property>
  <property fmtid="{D5CDD505-2E9C-101B-9397-08002B2CF9AE}" pid="12" name="Doku-Nr">
    <vt:lpwstr> </vt:lpwstr>
  </property>
  <property fmtid="{D5CDD505-2E9C-101B-9397-08002B2CF9AE}" pid="13" name="SupportLink">
    <vt:lpwstr>https://support.industry.siemens.com/cs/ww</vt:lpwstr>
  </property>
  <property fmtid="{D5CDD505-2E9C-101B-9397-08002B2CF9AE}" pid="14" name="Classification">
    <vt:lpwstr> </vt:lpwstr>
  </property>
  <property fmtid="{D5CDD505-2E9C-101B-9397-08002B2CF9AE}" pid="15" name="OSAdmFormTop">
    <vt:i4>220</vt:i4>
  </property>
  <property fmtid="{D5CDD505-2E9C-101B-9397-08002B2CF9AE}" pid="16" name="OSAdmFormLeft">
    <vt:i4>493</vt:i4>
  </property>
  <property fmtid="{D5CDD505-2E9C-101B-9397-08002B2CF9AE}" pid="17" name="Document Confidentiality">
    <vt:lpwstr>Unrestricted</vt:lpwstr>
  </property>
  <property fmtid="{D5CDD505-2E9C-101B-9397-08002B2CF9AE}" pid="18" name="Keywords">
    <vt:lpwstr>C_Unrestricted</vt:lpwstr>
  </property>
  <property fmtid="{D5CDD505-2E9C-101B-9397-08002B2CF9AE}" pid="19" name="OSLinkLang">
    <vt:lpwstr>de</vt:lpwstr>
  </property>
  <property fmtid="{D5CDD505-2E9C-101B-9397-08002B2CF9AE}" pid="20" name="OSDepartment">
    <vt:lpwstr/>
  </property>
</Properties>
</file>